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C4" w:rsidRPr="00650F74" w:rsidRDefault="00EF5FC4" w:rsidP="00EF5FC4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B41321C" wp14:editId="4F2C3556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EF5FC4" w:rsidRPr="00650F74" w:rsidRDefault="00EF5FC4" w:rsidP="00EF5FC4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:rsidR="00EF5FC4" w:rsidRPr="00650F74" w:rsidRDefault="00EF5FC4" w:rsidP="00EF5FC4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6E0703EC" wp14:editId="1E2E7337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EF5FC4" w:rsidRPr="00064808" w:rsidRDefault="00EF5FC4" w:rsidP="00EF5FC4">
      <w:pPr>
        <w:tabs>
          <w:tab w:val="left" w:pos="5112"/>
        </w:tabs>
        <w:jc w:val="both"/>
        <w:rPr>
          <w:b/>
          <w:bCs/>
          <w:lang w:val="de-DE"/>
        </w:rPr>
      </w:pPr>
      <w:r>
        <w:rPr>
          <w:b/>
          <w:bCs/>
          <w:lang w:val="de-DE"/>
        </w:rPr>
        <w:t>Kralja Zvonimira 10, 53220 Otočac</w:t>
      </w:r>
    </w:p>
    <w:p w:rsidR="00EF5FC4" w:rsidRPr="00064808" w:rsidRDefault="00EF5FC4" w:rsidP="00EF5FC4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:rsidR="00EF5FC4" w:rsidRPr="00064808" w:rsidRDefault="00EF5FC4" w:rsidP="00EF5FC4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:rsidR="00EF5FC4" w:rsidRPr="00064808" w:rsidRDefault="00EF5FC4" w:rsidP="00EF5FC4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:rsidR="00EF5FC4" w:rsidRPr="00064808" w:rsidRDefault="00EF5FC4" w:rsidP="00EF5FC4">
      <w:pPr>
        <w:rPr>
          <w:b/>
        </w:rPr>
      </w:pPr>
      <w:r w:rsidRPr="00064808">
        <w:rPr>
          <w:b/>
        </w:rPr>
        <w:t>Šifra djelatnosti: 8411</w:t>
      </w:r>
    </w:p>
    <w:p w:rsidR="00EF5FC4" w:rsidRPr="00064808" w:rsidRDefault="00EF5FC4" w:rsidP="00EF5FC4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:rsidR="00EF5FC4" w:rsidRDefault="00EF5FC4" w:rsidP="00EF5FC4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:rsidR="00EF5FC4" w:rsidRPr="00064808" w:rsidRDefault="00EF5FC4" w:rsidP="00EF5FC4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:rsidR="00EF5FC4" w:rsidRPr="00137CB4" w:rsidRDefault="00EF5FC4" w:rsidP="00EF5FC4">
      <w:pPr>
        <w:tabs>
          <w:tab w:val="left" w:pos="5088"/>
        </w:tabs>
        <w:ind w:firstLine="600"/>
        <w:jc w:val="both"/>
      </w:pPr>
    </w:p>
    <w:p w:rsidR="00EF5FC4" w:rsidRDefault="00EF5FC4" w:rsidP="00EF5FC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EF5FC4" w:rsidRDefault="00EF5FC4" w:rsidP="00EF5FC4">
      <w:pPr>
        <w:tabs>
          <w:tab w:val="left" w:pos="567"/>
          <w:tab w:val="left" w:pos="851"/>
        </w:tabs>
        <w:jc w:val="both"/>
        <w:rPr>
          <w:b/>
        </w:rPr>
      </w:pPr>
    </w:p>
    <w:p w:rsidR="00EF5FC4" w:rsidRPr="00137CB4" w:rsidRDefault="00EF5FC4" w:rsidP="00EF5FC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:rsidR="00EF5FC4" w:rsidRDefault="00EF5FC4" w:rsidP="00EF5FC4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:rsidR="00EF5FC4" w:rsidRPr="00137CB4" w:rsidRDefault="00EF5FC4" w:rsidP="00EF5FC4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:rsidR="00EF5FC4" w:rsidRPr="00137CB4" w:rsidRDefault="00EF5FC4" w:rsidP="00EF5FC4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>
        <w:rPr>
          <w:b/>
        </w:rPr>
        <w:t>RAZDOBLJE OD 01. SIJEČNJA DO 31. OŽUJKA 2021. GODINE</w:t>
      </w:r>
    </w:p>
    <w:p w:rsidR="00AD1D50" w:rsidRPr="00AD1D50" w:rsidRDefault="00AD1D50" w:rsidP="00AD1D50">
      <w:pPr>
        <w:tabs>
          <w:tab w:val="left" w:pos="5112"/>
        </w:tabs>
        <w:jc w:val="both"/>
        <w:rPr>
          <w:b/>
        </w:rPr>
      </w:pPr>
    </w:p>
    <w:p w:rsidR="00EF5FC4" w:rsidRDefault="003459D1" w:rsidP="00EF5FC4">
      <w:pPr>
        <w:tabs>
          <w:tab w:val="left" w:pos="5088"/>
        </w:tabs>
        <w:jc w:val="both"/>
        <w:rPr>
          <w:b/>
        </w:rPr>
      </w:pPr>
      <w:r w:rsidRPr="00650F74">
        <w:rPr>
          <w:b/>
        </w:rPr>
        <w:t xml:space="preserve">   </w:t>
      </w:r>
      <w:r w:rsidRPr="00650F74">
        <w:rPr>
          <w:b/>
        </w:rPr>
        <w:tab/>
        <w:t xml:space="preserve"> </w:t>
      </w:r>
      <w:r w:rsidRPr="00650F74">
        <w:rPr>
          <w:b/>
        </w:rPr>
        <w:tab/>
      </w:r>
    </w:p>
    <w:p w:rsidR="00EF5FC4" w:rsidRDefault="00EF5FC4" w:rsidP="00EF5FC4">
      <w:pPr>
        <w:tabs>
          <w:tab w:val="left" w:pos="5088"/>
        </w:tabs>
        <w:jc w:val="both"/>
      </w:pPr>
      <w:r>
        <w:t xml:space="preserve">             Na temelju članka </w:t>
      </w:r>
      <w:r w:rsidR="00E019AB">
        <w:t>13.</w:t>
      </w:r>
      <w:r>
        <w:t xml:space="preserve"> Pravilnika o financijskom izvještavanju u Proračunskom računovodstvu  izrađene su ove Bilješke uz financijske izvještaje za razdoblje od 01. siječnja do 31. ožujka 2021.</w:t>
      </w:r>
      <w:r w:rsidR="000673AD">
        <w:t xml:space="preserve"> </w:t>
      </w:r>
      <w:r>
        <w:t>godine.</w:t>
      </w:r>
    </w:p>
    <w:p w:rsidR="00922E9C" w:rsidRPr="00650F74" w:rsidRDefault="00922E9C" w:rsidP="00EF5FC4">
      <w:pPr>
        <w:jc w:val="both"/>
        <w:rPr>
          <w:b/>
        </w:rPr>
      </w:pPr>
    </w:p>
    <w:p w:rsidR="00A51C7A" w:rsidRPr="00650F7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650F74">
        <w:rPr>
          <w:b/>
        </w:rPr>
        <w:t>Uvodni dio:</w:t>
      </w:r>
    </w:p>
    <w:p w:rsidR="00753572" w:rsidRPr="00650F7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Grad Otočac je jedinica lokalne samouprave na području utvrđenom Zakonom.</w:t>
      </w:r>
    </w:p>
    <w:p w:rsidR="00176150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Sjedište Grada je u Otočcu, Kralja Zvonimira 10.</w:t>
      </w:r>
    </w:p>
    <w:p w:rsidR="00176150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Grad je pravna osoba.</w:t>
      </w:r>
    </w:p>
    <w:p w:rsidR="00176150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650F74" w:rsidRDefault="00493917" w:rsidP="00137CB4">
      <w:pPr>
        <w:tabs>
          <w:tab w:val="left" w:pos="5088"/>
        </w:tabs>
        <w:ind w:firstLine="600"/>
        <w:jc w:val="both"/>
      </w:pPr>
      <w:r w:rsidRPr="00650F7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Uređenje naselja i stanovanje,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Prostorno i urbanisti</w:t>
      </w:r>
      <w:r w:rsidR="002F62F8" w:rsidRPr="00650F74">
        <w:t>č</w:t>
      </w:r>
      <w:r w:rsidRPr="00650F74">
        <w:t>ko planiranje,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Komunalno gospodarstvo,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Brigu o djeci,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Socijalnu skrb,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Primarnu zdravstvenu zaštitu,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Odgoj i osnovno obrazovanje,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Kulturu, tjelesnu kultur</w:t>
      </w:r>
      <w:r w:rsidR="00630116" w:rsidRPr="00650F74">
        <w:t>u</w:t>
      </w:r>
      <w:r w:rsidRPr="00650F74">
        <w:t xml:space="preserve"> i šport,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Tehničku kulturu,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Zaštitu potrošača,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Zaštitu i unapređenje prirodnog okoliša,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Protupožarnu i civilnu zaštitu,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Promet na svom području,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lastRenderedPageBreak/>
        <w:t>Te ostale poslove sukladno posebnim zakonima.</w:t>
      </w:r>
    </w:p>
    <w:p w:rsidR="00753572" w:rsidRPr="00650F74" w:rsidRDefault="00753572" w:rsidP="007172A2">
      <w:pPr>
        <w:tabs>
          <w:tab w:val="left" w:pos="5088"/>
        </w:tabs>
        <w:jc w:val="both"/>
      </w:pPr>
    </w:p>
    <w:p w:rsidR="00D412A5" w:rsidRPr="00650F74" w:rsidRDefault="00753572" w:rsidP="00CC6420">
      <w:pPr>
        <w:pStyle w:val="Odlomakpopisa"/>
        <w:tabs>
          <w:tab w:val="left" w:pos="5088"/>
        </w:tabs>
        <w:ind w:left="0"/>
        <w:jc w:val="both"/>
      </w:pPr>
      <w:r w:rsidRPr="00650F74">
        <w:t>Odgovorna osoba Grad</w:t>
      </w:r>
      <w:r w:rsidR="00630116" w:rsidRPr="00650F74">
        <w:t>a</w:t>
      </w:r>
      <w:r w:rsidRPr="00650F74">
        <w:t xml:space="preserve"> Otočca je Gradonačelnik Stjepan Kostelac</w:t>
      </w:r>
      <w:r w:rsidR="000673AD">
        <w:t>, dr.</w:t>
      </w:r>
      <w:r w:rsidR="00630116" w:rsidRPr="00650F74">
        <w:t>vet.med.</w:t>
      </w:r>
      <w:r w:rsidRPr="00650F74">
        <w:t xml:space="preserve"> koji obnaša dužnost gradonačelnika od 26. svibnja 201</w:t>
      </w:r>
      <w:r w:rsidR="005C4948" w:rsidRPr="00650F74">
        <w:t>7</w:t>
      </w:r>
      <w:r w:rsidRPr="00650F74">
        <w:t>. godine.</w:t>
      </w:r>
    </w:p>
    <w:p w:rsidR="007172A2" w:rsidRPr="00650F74" w:rsidRDefault="007172A2" w:rsidP="00CC6420">
      <w:pPr>
        <w:pStyle w:val="Odlomakpopisa"/>
        <w:tabs>
          <w:tab w:val="left" w:pos="5088"/>
        </w:tabs>
        <w:ind w:left="0"/>
        <w:jc w:val="both"/>
      </w:pPr>
    </w:p>
    <w:p w:rsidR="00753572" w:rsidRPr="00650F74" w:rsidRDefault="00A47624" w:rsidP="00CC6420">
      <w:pPr>
        <w:pStyle w:val="Odlomakpopisa"/>
        <w:tabs>
          <w:tab w:val="left" w:pos="5088"/>
        </w:tabs>
        <w:ind w:left="0"/>
        <w:jc w:val="both"/>
      </w:pPr>
      <w:r w:rsidRPr="00650F74">
        <w:t>O</w:t>
      </w:r>
      <w:r w:rsidR="00EF5FC4">
        <w:t>dgovorne osobe za sastavljanje B</w:t>
      </w:r>
      <w:r w:rsidRPr="00650F74">
        <w:t>ilješki su Stevan Uzelac</w:t>
      </w:r>
      <w:r w:rsidR="000673AD">
        <w:t>, dipl.</w:t>
      </w:r>
      <w:r w:rsidR="000C248D" w:rsidRPr="00650F74">
        <w:t xml:space="preserve">iur. </w:t>
      </w:r>
      <w:r w:rsidR="00646E8E" w:rsidRPr="00650F74">
        <w:t>p</w:t>
      </w:r>
      <w:r w:rsidR="000C248D" w:rsidRPr="00650F74">
        <w:t xml:space="preserve">ročelnik Jedinstvenog odjela  i </w:t>
      </w:r>
      <w:r w:rsidR="00E80F04" w:rsidRPr="00650F74">
        <w:t xml:space="preserve">Martina </w:t>
      </w:r>
      <w:r w:rsidR="00EF5FC4">
        <w:t>Cvitković</w:t>
      </w:r>
      <w:r w:rsidR="00E80F04" w:rsidRPr="00650F74">
        <w:t>, mag.oec.</w:t>
      </w:r>
      <w:r w:rsidR="00630116" w:rsidRPr="00650F74">
        <w:t>,</w:t>
      </w:r>
      <w:r w:rsidR="000C248D" w:rsidRPr="00650F74">
        <w:t xml:space="preserve"> voditelj odsjeka za proračun, financije i javne prihode.</w:t>
      </w:r>
    </w:p>
    <w:p w:rsidR="00493917" w:rsidRPr="00650F74" w:rsidRDefault="00C209BF" w:rsidP="00137CB4">
      <w:pPr>
        <w:jc w:val="both"/>
        <w:rPr>
          <w:b/>
        </w:rPr>
      </w:pPr>
      <w:r w:rsidRPr="00650F74">
        <w:rPr>
          <w:b/>
        </w:rPr>
        <w:tab/>
        <w:t xml:space="preserve"> </w:t>
      </w:r>
    </w:p>
    <w:p w:rsidR="003459D1" w:rsidRPr="00650F74" w:rsidRDefault="00493917" w:rsidP="00137CB4">
      <w:pPr>
        <w:tabs>
          <w:tab w:val="left" w:pos="5088"/>
        </w:tabs>
        <w:ind w:firstLine="600"/>
        <w:jc w:val="both"/>
      </w:pPr>
      <w:r w:rsidRPr="00650F74">
        <w:rPr>
          <w:b/>
        </w:rPr>
        <w:t xml:space="preserve"> </w:t>
      </w:r>
    </w:p>
    <w:p w:rsidR="003459D1" w:rsidRPr="00650F74" w:rsidRDefault="00A47624" w:rsidP="00137CB4">
      <w:pPr>
        <w:numPr>
          <w:ilvl w:val="0"/>
          <w:numId w:val="1"/>
        </w:numPr>
        <w:jc w:val="both"/>
        <w:rPr>
          <w:b/>
        </w:rPr>
      </w:pPr>
      <w:r w:rsidRPr="00650F74">
        <w:rPr>
          <w:b/>
        </w:rPr>
        <w:t>Bilješke uz izvještaj o prihodima i rashodima, primicima i izdacima –Obrazac PR-RAS</w:t>
      </w:r>
    </w:p>
    <w:p w:rsidR="003459D1" w:rsidRPr="00650F74" w:rsidRDefault="003459D1" w:rsidP="00137CB4">
      <w:pPr>
        <w:jc w:val="both"/>
        <w:rPr>
          <w:i/>
        </w:rPr>
      </w:pPr>
      <w:r w:rsidRPr="00650F74">
        <w:rPr>
          <w:b/>
        </w:rPr>
        <w:t xml:space="preserve"> </w:t>
      </w:r>
      <w:r w:rsidR="00A47624" w:rsidRPr="00650F74">
        <w:rPr>
          <w:b/>
        </w:rPr>
        <w:t xml:space="preserve">   </w:t>
      </w:r>
      <w:r w:rsidR="00A47624" w:rsidRPr="00650F74">
        <w:rPr>
          <w:i/>
        </w:rPr>
        <w:t xml:space="preserve"> </w:t>
      </w:r>
      <w:r w:rsidRPr="00650F74">
        <w:rPr>
          <w:i/>
        </w:rPr>
        <w:t xml:space="preserve"> </w:t>
      </w:r>
      <w:r w:rsidR="00A47624" w:rsidRPr="00650F74">
        <w:rPr>
          <w:i/>
        </w:rPr>
        <w:t xml:space="preserve"> </w:t>
      </w:r>
    </w:p>
    <w:p w:rsidR="003459D1" w:rsidRPr="00650F74" w:rsidRDefault="003459D1" w:rsidP="00137CB4">
      <w:pPr>
        <w:ind w:firstLine="708"/>
        <w:jc w:val="both"/>
        <w:rPr>
          <w:b/>
        </w:rPr>
      </w:pPr>
      <w:r w:rsidRPr="00650F74">
        <w:rPr>
          <w:b/>
        </w:rPr>
        <w:t>Bilješke uz pojedine AOP-e:</w:t>
      </w:r>
    </w:p>
    <w:p w:rsidR="00356183" w:rsidRPr="00650F74" w:rsidRDefault="00356183" w:rsidP="00137CB4">
      <w:pPr>
        <w:ind w:firstLine="708"/>
        <w:jc w:val="both"/>
        <w:rPr>
          <w:b/>
        </w:rPr>
      </w:pPr>
    </w:p>
    <w:p w:rsidR="000E1D98" w:rsidRPr="00650F74" w:rsidRDefault="009B6AC9" w:rsidP="00137CB4">
      <w:pPr>
        <w:ind w:firstLine="708"/>
        <w:jc w:val="both"/>
      </w:pPr>
      <w:r>
        <w:t>AOP 004</w:t>
      </w:r>
      <w:r w:rsidR="000E1D98" w:rsidRPr="00650F74">
        <w:t xml:space="preserve"> Porez i prirez na dohodak povećan je u odnosu na  prethodnu godinu </w:t>
      </w:r>
      <w:r w:rsidR="00CC6420" w:rsidRPr="00650F74">
        <w:t xml:space="preserve">za </w:t>
      </w:r>
      <w:r>
        <w:t>55,5</w:t>
      </w:r>
      <w:r w:rsidR="00FA5F88" w:rsidRPr="00650F74">
        <w:t>%.</w:t>
      </w:r>
      <w:r w:rsidR="00CC6420" w:rsidRPr="00650F74">
        <w:t xml:space="preserve"> </w:t>
      </w:r>
      <w:r w:rsidR="00E5418F" w:rsidRPr="00650F74">
        <w:t>Odnosi se na porez i prorez na dohodak od nesamostalnog rada te porez i prirez na dohodak od kapitala.</w:t>
      </w:r>
      <w:r>
        <w:t xml:space="preserve"> Razlog smanjenja je ukidanje prihoda od poreza i prireza fiskalnog izravnavanja, no kroz kompenzacijske mjere koje su knjižene na AOP 055 JLS </w:t>
      </w:r>
      <w:r w:rsidR="002531F3">
        <w:t xml:space="preserve">iz državnog proračuna </w:t>
      </w:r>
      <w:r>
        <w:t>dobiva razliku sredstava</w:t>
      </w:r>
      <w:r w:rsidR="0063671F">
        <w:t xml:space="preserve">- </w:t>
      </w:r>
      <w:r w:rsidR="002531F3">
        <w:t>mjesečno</w:t>
      </w:r>
      <w:r>
        <w:t>.</w:t>
      </w:r>
    </w:p>
    <w:p w:rsidR="00356183" w:rsidRPr="00650F74" w:rsidRDefault="00356183" w:rsidP="00137CB4">
      <w:pPr>
        <w:ind w:firstLine="708"/>
        <w:jc w:val="both"/>
      </w:pPr>
    </w:p>
    <w:p w:rsidR="00FA5F88" w:rsidRPr="00650F74" w:rsidRDefault="00885190" w:rsidP="00137CB4">
      <w:pPr>
        <w:ind w:firstLine="708"/>
        <w:jc w:val="both"/>
      </w:pPr>
      <w:r w:rsidRPr="00650F74">
        <w:t xml:space="preserve">AOP 018 Porezi na imovinu u odnosu na prethodnu godinu </w:t>
      </w:r>
      <w:r w:rsidR="009B6AC9">
        <w:t>povećan je</w:t>
      </w:r>
      <w:r w:rsidR="00FA5F88" w:rsidRPr="00650F74">
        <w:t xml:space="preserve"> </w:t>
      </w:r>
      <w:r w:rsidR="00E5418F" w:rsidRPr="00650F74">
        <w:t xml:space="preserve">za </w:t>
      </w:r>
      <w:r w:rsidR="009B6AC9">
        <w:t>90,7%.</w:t>
      </w:r>
      <w:r w:rsidR="00FD7067" w:rsidRPr="00650F74">
        <w:t xml:space="preserve"> Najviše</w:t>
      </w:r>
      <w:r w:rsidR="00E5418F" w:rsidRPr="00650F74">
        <w:t xml:space="preserve"> </w:t>
      </w:r>
      <w:r w:rsidR="009B6AC9">
        <w:t>povećanje</w:t>
      </w:r>
      <w:r w:rsidR="00E5418F" w:rsidRPr="00650F74">
        <w:t xml:space="preserve"> </w:t>
      </w:r>
      <w:r w:rsidR="00FD7067" w:rsidRPr="00650F74">
        <w:t xml:space="preserve"> na  imovinu </w:t>
      </w:r>
      <w:r w:rsidR="00356183" w:rsidRPr="00650F74">
        <w:t xml:space="preserve"> su: porez na korištenje javnih površina</w:t>
      </w:r>
      <w:r w:rsidR="009B6AC9">
        <w:t xml:space="preserve">, porez na kuće za odmor </w:t>
      </w:r>
      <w:r w:rsidR="00FA5F88" w:rsidRPr="00650F74">
        <w:t>i porez na nekretnine</w:t>
      </w:r>
      <w:r w:rsidR="009B6AC9">
        <w:t xml:space="preserve"> (171.538,00 kn).</w:t>
      </w:r>
    </w:p>
    <w:p w:rsidR="00FA5F88" w:rsidRPr="00650F74" w:rsidRDefault="00FA5F88" w:rsidP="00137CB4">
      <w:pPr>
        <w:ind w:firstLine="708"/>
        <w:jc w:val="both"/>
      </w:pPr>
    </w:p>
    <w:p w:rsidR="00885190" w:rsidRPr="00650F74" w:rsidRDefault="00FA5F88" w:rsidP="00137CB4">
      <w:pPr>
        <w:ind w:firstLine="708"/>
        <w:jc w:val="both"/>
      </w:pPr>
      <w:r w:rsidRPr="00650F74">
        <w:t xml:space="preserve">AOP </w:t>
      </w:r>
      <w:r w:rsidR="0063671F">
        <w:t>0</w:t>
      </w:r>
      <w:r w:rsidRPr="00650F74">
        <w:t>24 Porez na potrošnju i porez na tvrtku također je smanjen za -</w:t>
      </w:r>
      <w:r w:rsidR="009B6AC9">
        <w:t>81,5% u odnosu na 2020</w:t>
      </w:r>
      <w:r w:rsidRPr="00650F74">
        <w:t xml:space="preserve">. godinu u istom razdoblju </w:t>
      </w:r>
      <w:r w:rsidR="00356183" w:rsidRPr="00650F74">
        <w:t xml:space="preserve">(realizacija </w:t>
      </w:r>
      <w:r w:rsidR="009B6AC9">
        <w:t>za razdoblje u 2021</w:t>
      </w:r>
      <w:r w:rsidR="00356183" w:rsidRPr="00650F74">
        <w:t>. godin</w:t>
      </w:r>
      <w:r w:rsidRPr="00650F74">
        <w:t>i</w:t>
      </w:r>
      <w:r w:rsidR="00232BEF" w:rsidRPr="00650F74">
        <w:t xml:space="preserve">  je </w:t>
      </w:r>
      <w:r w:rsidR="009B6AC9">
        <w:t>11.855,00</w:t>
      </w:r>
      <w:r w:rsidR="00232BEF" w:rsidRPr="00650F74">
        <w:t xml:space="preserve"> kn</w:t>
      </w:r>
      <w:r w:rsidRPr="00650F74">
        <w:t xml:space="preserve">)  </w:t>
      </w:r>
    </w:p>
    <w:p w:rsidR="00D65E7F" w:rsidRPr="00650F74" w:rsidRDefault="00D65E7F" w:rsidP="00137CB4">
      <w:pPr>
        <w:ind w:firstLine="708"/>
        <w:jc w:val="both"/>
      </w:pPr>
    </w:p>
    <w:p w:rsidR="00BE50F4" w:rsidRDefault="00D65E7F" w:rsidP="009B6AC9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 w:rsidR="000F0EA3" w:rsidRPr="00650F74">
        <w:t>054</w:t>
      </w:r>
      <w:r w:rsidRPr="00650F74">
        <w:t xml:space="preserve"> Pomoći proračunu iz drugih proračuna, na računu 6331 evidentiran</w:t>
      </w:r>
      <w:r w:rsidR="00630116" w:rsidRPr="00650F74">
        <w:t>e</w:t>
      </w:r>
      <w:r w:rsidRPr="00650F74">
        <w:t xml:space="preserve"> su </w:t>
      </w:r>
      <w:r w:rsidR="00434A8B">
        <w:t xml:space="preserve">tekuće pomoći. </w:t>
      </w:r>
      <w:r w:rsidR="00C6599D" w:rsidRPr="00650F74">
        <w:rPr>
          <w:color w:val="000000" w:themeColor="text1"/>
        </w:rPr>
        <w:t>Grad je ostvario pomoć</w:t>
      </w:r>
      <w:r w:rsidR="00F438E5" w:rsidRPr="00650F74">
        <w:rPr>
          <w:color w:val="000000" w:themeColor="text1"/>
        </w:rPr>
        <w:t xml:space="preserve"> </w:t>
      </w:r>
      <w:r w:rsidR="00FA5F88" w:rsidRPr="00650F74">
        <w:rPr>
          <w:color w:val="000000" w:themeColor="text1"/>
        </w:rPr>
        <w:t>kn za kompenzacijske mjere od Ministarstva financija za prva tri</w:t>
      </w:r>
      <w:r w:rsidR="0063671F">
        <w:rPr>
          <w:color w:val="000000" w:themeColor="text1"/>
        </w:rPr>
        <w:t xml:space="preserve"> mjeseca kao razliku što je ukinut prihod fiskalnog izravnavanja poreza i prireza.</w:t>
      </w:r>
    </w:p>
    <w:p w:rsidR="00BE50F4" w:rsidRPr="00650F74" w:rsidRDefault="00BE50F4" w:rsidP="00BE50F4">
      <w:pPr>
        <w:ind w:firstLine="708"/>
        <w:jc w:val="both"/>
      </w:pPr>
    </w:p>
    <w:p w:rsidR="00BE50F4" w:rsidRDefault="00BE50F4" w:rsidP="00BE50F4">
      <w:pPr>
        <w:ind w:firstLine="708"/>
        <w:jc w:val="both"/>
        <w:rPr>
          <w:color w:val="000000" w:themeColor="text1"/>
        </w:rPr>
      </w:pPr>
      <w:r w:rsidRPr="00650F74">
        <w:t>AOP 0</w:t>
      </w:r>
      <w:r>
        <w:t>69</w:t>
      </w:r>
      <w:r w:rsidRPr="00650F74">
        <w:t xml:space="preserve"> Pomoći </w:t>
      </w:r>
      <w:r w:rsidR="006825BD">
        <w:t>temeljem prijenosa EU sredstava</w:t>
      </w:r>
      <w:r w:rsidRPr="00650F74">
        <w:t xml:space="preserve">, na računu </w:t>
      </w:r>
      <w:r w:rsidR="009B6AC9">
        <w:t>638</w:t>
      </w:r>
      <w:r w:rsidRPr="00650F74">
        <w:t xml:space="preserve"> evidentirane su </w:t>
      </w:r>
      <w:r>
        <w:t>tekuće pomoći</w:t>
      </w:r>
      <w:r w:rsidR="009B6AC9">
        <w:t xml:space="preserve"> i kapitalne pomoći iz državnog proračuna temeljem prijenosa EU sredstava</w:t>
      </w:r>
      <w:r>
        <w:t xml:space="preserve">. </w:t>
      </w:r>
      <w:r w:rsidRPr="00650F74">
        <w:rPr>
          <w:color w:val="000000" w:themeColor="text1"/>
        </w:rPr>
        <w:t xml:space="preserve">Grad je ostvario </w:t>
      </w:r>
      <w:r w:rsidR="009B6AC9">
        <w:rPr>
          <w:color w:val="000000" w:themeColor="text1"/>
        </w:rPr>
        <w:t xml:space="preserve">kapitalnu </w:t>
      </w:r>
      <w:r w:rsidRPr="00650F74">
        <w:rPr>
          <w:color w:val="000000" w:themeColor="text1"/>
        </w:rPr>
        <w:t xml:space="preserve">pomoć </w:t>
      </w:r>
      <w:r w:rsidR="009B6AC9">
        <w:rPr>
          <w:color w:val="000000" w:themeColor="text1"/>
        </w:rPr>
        <w:t>od APPR-a za rekonstrukciju ulice B. Kašić koja je realizirana 2019.</w:t>
      </w:r>
      <w:r w:rsidR="0063671F">
        <w:rPr>
          <w:color w:val="000000" w:themeColor="text1"/>
        </w:rPr>
        <w:t xml:space="preserve"> </w:t>
      </w:r>
      <w:r w:rsidR="009B6AC9">
        <w:rPr>
          <w:color w:val="000000" w:themeColor="text1"/>
        </w:rPr>
        <w:t>godine u iznosu od 3.647.329,00 kn. Ovo je drugi dio isplate po ugovoru. Prvi dio isplate je bio 2019. godine. Te tekuće pomoći od MRMS za projekt Zaželi- zapošljavanje žena u iznosu od 351</w:t>
      </w:r>
      <w:r w:rsidR="0063671F">
        <w:rPr>
          <w:color w:val="000000" w:themeColor="text1"/>
        </w:rPr>
        <w:t>.</w:t>
      </w:r>
      <w:r w:rsidR="009B6AC9">
        <w:rPr>
          <w:color w:val="000000" w:themeColor="text1"/>
        </w:rPr>
        <w:t>917,00 kn.</w:t>
      </w:r>
    </w:p>
    <w:p w:rsidR="00F438E5" w:rsidRPr="00650F74" w:rsidRDefault="00F438E5" w:rsidP="00B50515">
      <w:pPr>
        <w:jc w:val="both"/>
      </w:pPr>
    </w:p>
    <w:p w:rsidR="00C871A6" w:rsidRPr="00650F74" w:rsidRDefault="00F438E5" w:rsidP="00454ABA">
      <w:pPr>
        <w:ind w:firstLine="708"/>
        <w:jc w:val="both"/>
      </w:pPr>
      <w:r w:rsidRPr="00650F74">
        <w:t>AOP 0</w:t>
      </w:r>
      <w:r w:rsidR="00BE50F4">
        <w:t>77</w:t>
      </w:r>
      <w:r w:rsidR="00C871A6" w:rsidRPr="00650F74"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Navedeni prih</w:t>
      </w:r>
      <w:r w:rsidR="00BE50F4">
        <w:t>odi su povećani u odnosu na 2020. godinu za 27,5</w:t>
      </w:r>
      <w:r w:rsidR="00C871A6" w:rsidRPr="00650F74">
        <w:t xml:space="preserve">%. </w:t>
      </w:r>
    </w:p>
    <w:p w:rsidR="00C871A6" w:rsidRPr="00650F74" w:rsidRDefault="00C871A6" w:rsidP="00137CB4">
      <w:pPr>
        <w:ind w:firstLine="708"/>
        <w:jc w:val="both"/>
      </w:pPr>
    </w:p>
    <w:p w:rsidR="009A1955" w:rsidRPr="00650F74" w:rsidRDefault="00EA4080" w:rsidP="00137CB4">
      <w:pPr>
        <w:ind w:firstLine="708"/>
        <w:jc w:val="both"/>
      </w:pPr>
      <w:r w:rsidRPr="00650F74">
        <w:t xml:space="preserve">AOP </w:t>
      </w:r>
      <w:r w:rsidR="00BE50F4">
        <w:t>101</w:t>
      </w:r>
      <w:r w:rsidR="00C871A6" w:rsidRPr="00650F74">
        <w:t xml:space="preserve"> Prihod od upravnih i administrativnih pristojbi, pristojbi po posebnim propisima i naknadama </w:t>
      </w:r>
      <w:r w:rsidR="00BE50F4">
        <w:t>smanjen je za 56%.</w:t>
      </w:r>
      <w:r w:rsidR="00C871A6" w:rsidRPr="00650F74">
        <w:t xml:space="preserve"> Ovaj prihod odnosi se na prihod od prodaje državnih biljega, prihod od boravišne pristojbe, doprinos za šume, komunalni doprinos, komunalne naknade, prihodi za pravo služnosti telekoma, prihodi vodoprivrede itd.</w:t>
      </w:r>
    </w:p>
    <w:p w:rsidR="008A53DC" w:rsidRPr="00650F74" w:rsidRDefault="008A53DC" w:rsidP="00082D64">
      <w:pPr>
        <w:jc w:val="both"/>
      </w:pPr>
    </w:p>
    <w:p w:rsidR="00DD43F3" w:rsidRPr="00650F74" w:rsidRDefault="008A53DC" w:rsidP="00137CB4">
      <w:pPr>
        <w:ind w:firstLine="708"/>
        <w:jc w:val="both"/>
      </w:pPr>
      <w:r w:rsidRPr="00650F74">
        <w:t>AOP 1</w:t>
      </w:r>
      <w:r w:rsidR="00BE50F4">
        <w:t xml:space="preserve">15 </w:t>
      </w:r>
      <w:r w:rsidR="00141901" w:rsidRPr="00650F74">
        <w:t>Komunalni doprinos i naknade, evidenti</w:t>
      </w:r>
      <w:r w:rsidR="00082D64" w:rsidRPr="00650F74">
        <w:t>ra</w:t>
      </w:r>
      <w:r w:rsidR="00D863CE" w:rsidRPr="00650F74">
        <w:t xml:space="preserve">no je smanjenje ovih prihoda. </w:t>
      </w:r>
      <w:r w:rsidR="00141901" w:rsidRPr="00650F74">
        <w:t xml:space="preserve">Smanjen je prihod od </w:t>
      </w:r>
      <w:r w:rsidR="00D863CE" w:rsidRPr="00650F74">
        <w:t>komunalnog doprinosa</w:t>
      </w:r>
      <w:r w:rsidR="00BE50F4">
        <w:t xml:space="preserve"> te komunalne naknade.</w:t>
      </w:r>
    </w:p>
    <w:p w:rsidR="00141901" w:rsidRPr="00650F74" w:rsidRDefault="00141901" w:rsidP="00137CB4">
      <w:pPr>
        <w:ind w:firstLine="708"/>
        <w:jc w:val="both"/>
      </w:pPr>
    </w:p>
    <w:p w:rsidR="00141901" w:rsidRPr="00650F74" w:rsidRDefault="00BE50F4" w:rsidP="00137CB4">
      <w:pPr>
        <w:ind w:firstLine="708"/>
        <w:jc w:val="both"/>
      </w:pPr>
      <w:r>
        <w:t>AOP 134</w:t>
      </w:r>
      <w:r w:rsidR="00141901" w:rsidRPr="00650F74">
        <w:t xml:space="preserve"> Kazne i upravne mjere, </w:t>
      </w:r>
      <w:r>
        <w:t xml:space="preserve">prihodi su povećani u odnosu na 2020. godinu. </w:t>
      </w:r>
      <w:r w:rsidR="00141901" w:rsidRPr="00650F74">
        <w:t>Na računu</w:t>
      </w:r>
      <w:r w:rsidR="00BE5F97" w:rsidRPr="00650F74">
        <w:t xml:space="preserve"> 683</w:t>
      </w:r>
      <w:r w:rsidR="00141901" w:rsidRPr="00650F74">
        <w:t xml:space="preserve"> evidentirane su </w:t>
      </w:r>
      <w:r w:rsidR="00BE5F97" w:rsidRPr="00650F74">
        <w:t xml:space="preserve">prisilne naplate. </w:t>
      </w:r>
    </w:p>
    <w:p w:rsidR="00B6106A" w:rsidRPr="00650F74" w:rsidRDefault="00B6106A" w:rsidP="00BE5F97">
      <w:pPr>
        <w:jc w:val="both"/>
      </w:pPr>
    </w:p>
    <w:p w:rsidR="003D2620" w:rsidRDefault="003464C7" w:rsidP="0070503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148</w:t>
      </w:r>
      <w:r w:rsidR="00B6106A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2021</w:t>
      </w:r>
      <w:r w:rsidR="00232BEF" w:rsidRPr="00650F74">
        <w:rPr>
          <w:color w:val="000000" w:themeColor="text1"/>
        </w:rPr>
        <w:t>.</w:t>
      </w:r>
      <w:r w:rsidR="003D2620" w:rsidRPr="00650F74">
        <w:rPr>
          <w:color w:val="000000" w:themeColor="text1"/>
        </w:rPr>
        <w:t xml:space="preserve"> godini</w:t>
      </w:r>
      <w:r>
        <w:rPr>
          <w:color w:val="000000" w:themeColor="text1"/>
        </w:rPr>
        <w:t xml:space="preserve"> povećane su u odnosu na 2020</w:t>
      </w:r>
      <w:r w:rsidR="003D2620" w:rsidRPr="00650F74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godinu za 2,5%. </w:t>
      </w:r>
      <w:r w:rsidR="00BE50F4">
        <w:rPr>
          <w:color w:val="000000" w:themeColor="text1"/>
        </w:rPr>
        <w:t>R</w:t>
      </w:r>
      <w:r>
        <w:rPr>
          <w:color w:val="000000" w:themeColor="text1"/>
        </w:rPr>
        <w:t xml:space="preserve">azlog povećanja je nova osnovica za obračun plaća u javnim službama te povećanje osnovice za obračun minimalne plaće u RH. </w:t>
      </w:r>
      <w:r w:rsidR="00B6106A" w:rsidRPr="00650F74">
        <w:rPr>
          <w:color w:val="000000" w:themeColor="text1"/>
        </w:rPr>
        <w:t>Na računu</w:t>
      </w:r>
      <w:r w:rsidR="003D2620" w:rsidRPr="00650F74">
        <w:rPr>
          <w:color w:val="000000" w:themeColor="text1"/>
        </w:rPr>
        <w:t xml:space="preserve"> 3111 evidentirane su plaće za zaposlene u Gradskoj upravi.</w:t>
      </w:r>
      <w:r w:rsidR="00EE1C1D" w:rsidRPr="00650F74">
        <w:rPr>
          <w:color w:val="000000" w:themeColor="text1"/>
        </w:rPr>
        <w:t xml:space="preserve"> </w:t>
      </w:r>
      <w:r w:rsidR="00705036">
        <w:rPr>
          <w:color w:val="000000" w:themeColor="text1"/>
        </w:rPr>
        <w:t xml:space="preserve">Prosječan broj zaposlenih na dan 31.03.2021. godine je 40. </w:t>
      </w:r>
      <w:r w:rsidR="003E1F48" w:rsidRPr="00650F74">
        <w:rPr>
          <w:color w:val="000000" w:themeColor="text1"/>
        </w:rPr>
        <w:t>10</w:t>
      </w:r>
      <w:r w:rsidR="003D2620" w:rsidRPr="00650F74">
        <w:rPr>
          <w:color w:val="000000" w:themeColor="text1"/>
        </w:rPr>
        <w:t xml:space="preserve"> žena kroz </w:t>
      </w:r>
      <w:r w:rsidR="00E3124F">
        <w:rPr>
          <w:color w:val="000000" w:themeColor="text1"/>
        </w:rPr>
        <w:t>program</w:t>
      </w:r>
      <w:r w:rsidR="003D2620" w:rsidRPr="00650F74">
        <w:rPr>
          <w:color w:val="000000" w:themeColor="text1"/>
        </w:rPr>
        <w:t xml:space="preserve"> zapošljavanja</w:t>
      </w:r>
      <w:r w:rsidR="00EE1C1D" w:rsidRPr="00650F74">
        <w:rPr>
          <w:color w:val="000000" w:themeColor="text1"/>
        </w:rPr>
        <w:t xml:space="preserve"> žena</w:t>
      </w:r>
      <w:r w:rsidR="003D2620" w:rsidRPr="00650F74">
        <w:rPr>
          <w:color w:val="000000" w:themeColor="text1"/>
        </w:rPr>
        <w:t>– Zaže</w:t>
      </w:r>
      <w:r w:rsidR="00EE1C1D" w:rsidRPr="00650F74">
        <w:rPr>
          <w:color w:val="000000" w:themeColor="text1"/>
        </w:rPr>
        <w:t>li koje su sa radom počele 01.10.2019. godine,</w:t>
      </w:r>
      <w:r w:rsidR="003D2620" w:rsidRPr="00650F74">
        <w:rPr>
          <w:color w:val="000000" w:themeColor="text1"/>
        </w:rPr>
        <w:t xml:space="preserve"> </w:t>
      </w:r>
      <w:r w:rsidR="00EE1C1D" w:rsidRPr="00650F74">
        <w:rPr>
          <w:color w:val="000000" w:themeColor="text1"/>
        </w:rPr>
        <w:t>ugovor je sklopljen na 24 mjeseca</w:t>
      </w:r>
      <w:r>
        <w:rPr>
          <w:color w:val="000000" w:themeColor="text1"/>
        </w:rPr>
        <w:t>, 3 žene preko programa javnih radova- Otočac, uređen i lijep koje su sa radom započele u listopadu 2020.</w:t>
      </w:r>
      <w:r w:rsidR="00705036">
        <w:rPr>
          <w:color w:val="000000" w:themeColor="text1"/>
        </w:rPr>
        <w:t xml:space="preserve"> </w:t>
      </w:r>
      <w:r>
        <w:rPr>
          <w:color w:val="000000" w:themeColor="text1"/>
        </w:rPr>
        <w:t>godine, te 27 zaposlenih u Gradu Otočcu.</w:t>
      </w:r>
    </w:p>
    <w:p w:rsidR="00705036" w:rsidRPr="00705036" w:rsidRDefault="00705036" w:rsidP="00705036">
      <w:pPr>
        <w:ind w:firstLine="708"/>
        <w:jc w:val="both"/>
        <w:rPr>
          <w:color w:val="000000" w:themeColor="text1"/>
        </w:rPr>
      </w:pPr>
    </w:p>
    <w:p w:rsidR="00AC0526" w:rsidRPr="00650F74" w:rsidRDefault="003464C7" w:rsidP="00137CB4">
      <w:pPr>
        <w:ind w:firstLine="708"/>
        <w:jc w:val="both"/>
      </w:pPr>
      <w:r>
        <w:t>AOP 154</w:t>
      </w:r>
      <w:r w:rsidR="00AC0526" w:rsidRPr="00650F74">
        <w:t xml:space="preserve"> Doprinosi na plaće </w:t>
      </w:r>
      <w:r w:rsidR="00F60F55" w:rsidRPr="00650F74">
        <w:t xml:space="preserve">su </w:t>
      </w:r>
      <w:r>
        <w:t>povećani</w:t>
      </w:r>
      <w:r w:rsidR="00AC0526" w:rsidRPr="00650F74">
        <w:t xml:space="preserve"> </w:t>
      </w:r>
      <w:r w:rsidR="00F60F55" w:rsidRPr="00650F74">
        <w:t xml:space="preserve">u odnosu na prethodnu godinu, a </w:t>
      </w:r>
      <w:r w:rsidR="00AC0526" w:rsidRPr="00650F74">
        <w:t xml:space="preserve">razlog </w:t>
      </w:r>
      <w:r w:rsidR="00F60F55" w:rsidRPr="00650F74">
        <w:t>smanjenja</w:t>
      </w:r>
      <w:r>
        <w:t xml:space="preserve"> je objašnjenje AOP-a 148</w:t>
      </w:r>
      <w:r w:rsidR="00AC0526" w:rsidRPr="00650F74">
        <w:t>.</w:t>
      </w:r>
    </w:p>
    <w:p w:rsidR="00AC0526" w:rsidRDefault="00AC0526" w:rsidP="00137CB4">
      <w:pPr>
        <w:ind w:firstLine="708"/>
        <w:jc w:val="both"/>
      </w:pPr>
    </w:p>
    <w:p w:rsidR="003464C7" w:rsidRDefault="003464C7" w:rsidP="00137CB4">
      <w:pPr>
        <w:ind w:firstLine="708"/>
        <w:jc w:val="both"/>
      </w:pPr>
      <w:r>
        <w:t>AOP 159 Naknade troškova zaposlenima povećane su u odnosu na 2020.</w:t>
      </w:r>
      <w:r w:rsidR="001A42B3">
        <w:t xml:space="preserve"> </w:t>
      </w:r>
      <w:r>
        <w:t>godinu  i to za 32,9%. Povećanje se odnosi na stručno usavršavanje zaposlenika, službena putovanja te naknade za prijevoz na posao i sa posla.</w:t>
      </w:r>
    </w:p>
    <w:p w:rsidR="003464C7" w:rsidRPr="00650F74" w:rsidRDefault="003464C7" w:rsidP="00137CB4">
      <w:pPr>
        <w:ind w:firstLine="708"/>
        <w:jc w:val="both"/>
      </w:pPr>
    </w:p>
    <w:p w:rsidR="00AC0526" w:rsidRPr="00650F74" w:rsidRDefault="003464C7" w:rsidP="00137CB4">
      <w:pPr>
        <w:ind w:firstLine="708"/>
        <w:jc w:val="both"/>
      </w:pPr>
      <w:r>
        <w:t>AOP 164</w:t>
      </w:r>
      <w:r w:rsidR="00AC0526" w:rsidRPr="00650F74">
        <w:t xml:space="preserve"> Rashodi za materijal i energiju </w:t>
      </w:r>
      <w:r>
        <w:t>povećani</w:t>
      </w:r>
      <w:r w:rsidR="00AC0526" w:rsidRPr="00650F74">
        <w:t xml:space="preserve"> su u odno</w:t>
      </w:r>
      <w:r>
        <w:t>su na 2020.</w:t>
      </w:r>
      <w:r w:rsidR="00AC0526" w:rsidRPr="00650F74">
        <w:t xml:space="preserve"> godinu. </w:t>
      </w:r>
      <w:r w:rsidR="00DD7FF6" w:rsidRPr="00650F74">
        <w:t>Navedeni rashodi odnose se na:</w:t>
      </w:r>
      <w:r w:rsidR="00F60F55" w:rsidRPr="00650F74">
        <w:t xml:space="preserve"> uredski materijal, energiju koja obuhvaća troškove električne energije te rashode </w:t>
      </w:r>
      <w:r>
        <w:t>za grijanje (lož ulje, pelete), a najveće povećanje se odnosi na troškove električne energije te nabavu službene i radne odjeće.</w:t>
      </w:r>
    </w:p>
    <w:p w:rsidR="00BA6FF6" w:rsidRPr="00650F74" w:rsidRDefault="00BA6FF6" w:rsidP="00137CB4">
      <w:pPr>
        <w:ind w:firstLine="708"/>
        <w:jc w:val="both"/>
      </w:pPr>
    </w:p>
    <w:p w:rsidR="00DD7FF6" w:rsidRPr="00650F74" w:rsidRDefault="00BA6FF6" w:rsidP="00DD7FF6">
      <w:pPr>
        <w:ind w:firstLine="708"/>
        <w:jc w:val="both"/>
      </w:pPr>
      <w:r w:rsidRPr="00650F74">
        <w:t xml:space="preserve">AOP </w:t>
      </w:r>
      <w:r w:rsidR="003464C7">
        <w:t>172</w:t>
      </w:r>
      <w:r w:rsidRPr="00650F74">
        <w:t xml:space="preserve"> Rashodi za usluge također </w:t>
      </w:r>
      <w:r w:rsidR="003464C7">
        <w:t>povećani</w:t>
      </w:r>
      <w:r w:rsidRPr="00650F74">
        <w:t xml:space="preserve"> u odnosu na prethodnu godinu </w:t>
      </w:r>
      <w:r w:rsidR="00F60F55" w:rsidRPr="00650F74">
        <w:t xml:space="preserve">za </w:t>
      </w:r>
      <w:r w:rsidR="003464C7">
        <w:t>46,6%.</w:t>
      </w:r>
      <w:r w:rsidR="00F60F55" w:rsidRPr="00650F74">
        <w:t xml:space="preserve"> </w:t>
      </w:r>
      <w:r w:rsidR="003464C7">
        <w:t xml:space="preserve">Povećanje </w:t>
      </w:r>
      <w:r w:rsidR="00F60F55" w:rsidRPr="00650F74">
        <w:t>se prvenstveno odnosi na usluge</w:t>
      </w:r>
      <w:r w:rsidR="00DD7FF6" w:rsidRPr="00650F74">
        <w:t xml:space="preserve"> tekućeg i investicijskog održavanja, </w:t>
      </w:r>
      <w:r w:rsidR="003464C7">
        <w:t xml:space="preserve">usluge promidžbe i informiranja, </w:t>
      </w:r>
      <w:r w:rsidR="00DD7FF6" w:rsidRPr="00650F74">
        <w:t>komunalne usluge, računalne usluge itd.</w:t>
      </w:r>
    </w:p>
    <w:p w:rsidR="00FA10B9" w:rsidRPr="00650F74" w:rsidRDefault="00FA10B9" w:rsidP="00DD7FF6">
      <w:pPr>
        <w:jc w:val="both"/>
        <w:rPr>
          <w:color w:val="FF0000"/>
        </w:rPr>
      </w:pPr>
    </w:p>
    <w:p w:rsidR="00FA10B9" w:rsidRPr="00650F74" w:rsidRDefault="00FA10B9" w:rsidP="00137CB4">
      <w:pPr>
        <w:ind w:firstLine="708"/>
        <w:jc w:val="both"/>
        <w:rPr>
          <w:color w:val="000000" w:themeColor="text1"/>
        </w:rPr>
      </w:pPr>
      <w:r w:rsidRPr="00650F74">
        <w:rPr>
          <w:color w:val="000000" w:themeColor="text1"/>
        </w:rPr>
        <w:t xml:space="preserve">AOP </w:t>
      </w:r>
      <w:r w:rsidR="00630116" w:rsidRPr="00650F74">
        <w:rPr>
          <w:color w:val="000000" w:themeColor="text1"/>
        </w:rPr>
        <w:t>1</w:t>
      </w:r>
      <w:r w:rsidR="003464C7">
        <w:rPr>
          <w:color w:val="000000" w:themeColor="text1"/>
        </w:rPr>
        <w:t xml:space="preserve">83 </w:t>
      </w:r>
      <w:r w:rsidRPr="00650F74">
        <w:rPr>
          <w:color w:val="000000" w:themeColor="text1"/>
        </w:rPr>
        <w:t>Ostali nespomenuti rashodi poslovanja</w:t>
      </w:r>
      <w:r w:rsidR="00F60F55" w:rsidRPr="00650F74">
        <w:rPr>
          <w:color w:val="000000" w:themeColor="text1"/>
        </w:rPr>
        <w:t xml:space="preserve"> </w:t>
      </w:r>
      <w:r w:rsidR="00DD7FF6" w:rsidRPr="00650F74">
        <w:rPr>
          <w:color w:val="000000" w:themeColor="text1"/>
        </w:rPr>
        <w:t xml:space="preserve">smanjeni </w:t>
      </w:r>
      <w:r w:rsidRPr="00650F74">
        <w:rPr>
          <w:color w:val="000000" w:themeColor="text1"/>
        </w:rPr>
        <w:t>s</w:t>
      </w:r>
      <w:r w:rsidR="00F60F55" w:rsidRPr="00650F74">
        <w:rPr>
          <w:color w:val="000000" w:themeColor="text1"/>
        </w:rPr>
        <w:t xml:space="preserve">u u odnosu na prethodnu </w:t>
      </w:r>
      <w:r w:rsidR="003464C7">
        <w:rPr>
          <w:color w:val="000000" w:themeColor="text1"/>
        </w:rPr>
        <w:t>godinu.</w:t>
      </w:r>
      <w:r w:rsidR="00F60F55" w:rsidRPr="00650F74">
        <w:rPr>
          <w:color w:val="000000" w:themeColor="text1"/>
        </w:rPr>
        <w:t xml:space="preserve"> Najviše su </w:t>
      </w:r>
      <w:r w:rsidR="00DD7FF6" w:rsidRPr="00650F74">
        <w:rPr>
          <w:color w:val="000000" w:themeColor="text1"/>
        </w:rPr>
        <w:t xml:space="preserve">smanjeni </w:t>
      </w:r>
      <w:r w:rsidRPr="00650F74">
        <w:rPr>
          <w:color w:val="000000" w:themeColor="text1"/>
        </w:rPr>
        <w:t xml:space="preserve">rashodi </w:t>
      </w:r>
      <w:r w:rsidR="00DD7FF6" w:rsidRPr="00650F74">
        <w:rPr>
          <w:color w:val="000000" w:themeColor="text1"/>
        </w:rPr>
        <w:t xml:space="preserve">koji se odnose na </w:t>
      </w:r>
      <w:r w:rsidR="003464C7">
        <w:rPr>
          <w:color w:val="000000" w:themeColor="text1"/>
        </w:rPr>
        <w:t>reprezentaciju i članarine.</w:t>
      </w:r>
    </w:p>
    <w:p w:rsidR="00FA10B9" w:rsidRPr="00650F74" w:rsidRDefault="00FA10B9" w:rsidP="00137CB4">
      <w:pPr>
        <w:ind w:firstLine="708"/>
        <w:jc w:val="both"/>
        <w:rPr>
          <w:color w:val="FF0000"/>
        </w:rPr>
      </w:pPr>
    </w:p>
    <w:p w:rsidR="00DD43F3" w:rsidRPr="00650F74" w:rsidRDefault="00765693" w:rsidP="00137CB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205</w:t>
      </w:r>
      <w:r w:rsidR="00FA10B9" w:rsidRPr="00650F74">
        <w:rPr>
          <w:color w:val="000000" w:themeColor="text1"/>
        </w:rPr>
        <w:t xml:space="preserve"> Ostali finan</w:t>
      </w:r>
      <w:r w:rsidR="007D068E" w:rsidRPr="00650F74">
        <w:rPr>
          <w:color w:val="000000" w:themeColor="text1"/>
        </w:rPr>
        <w:t xml:space="preserve">cijski rashodi </w:t>
      </w:r>
      <w:r>
        <w:rPr>
          <w:color w:val="000000" w:themeColor="text1"/>
        </w:rPr>
        <w:t>smanjeni</w:t>
      </w:r>
      <w:r w:rsidR="007D068E" w:rsidRPr="00650F74">
        <w:rPr>
          <w:color w:val="000000" w:themeColor="text1"/>
        </w:rPr>
        <w:t xml:space="preserve"> su</w:t>
      </w:r>
      <w:r>
        <w:rPr>
          <w:color w:val="000000" w:themeColor="text1"/>
        </w:rPr>
        <w:t xml:space="preserve"> u odnosu na prethodnu godinu, a odnosi se na bankarske usluge i ostale financijske rashode.</w:t>
      </w:r>
    </w:p>
    <w:p w:rsidR="00FA10B9" w:rsidRPr="00650F74" w:rsidRDefault="00FA10B9" w:rsidP="00137CB4">
      <w:pPr>
        <w:ind w:firstLine="708"/>
        <w:jc w:val="both"/>
      </w:pPr>
    </w:p>
    <w:p w:rsidR="00FA10B9" w:rsidRPr="00650F74" w:rsidRDefault="00765693" w:rsidP="00765693">
      <w:pPr>
        <w:ind w:firstLine="708"/>
        <w:jc w:val="both"/>
      </w:pPr>
      <w:r>
        <w:t>AOP 211</w:t>
      </w:r>
      <w:r w:rsidR="00FA10B9" w:rsidRPr="00650F74">
        <w:t xml:space="preserve"> Subvencije trgovačkim društvima u javnom sektoru </w:t>
      </w:r>
      <w:r>
        <w:t xml:space="preserve">smanjene </w:t>
      </w:r>
      <w:r w:rsidR="001E1729" w:rsidRPr="00650F74">
        <w:t>su</w:t>
      </w:r>
      <w:r w:rsidR="00FA10B9" w:rsidRPr="00650F74">
        <w:t xml:space="preserve"> u odnosu na </w:t>
      </w:r>
      <w:r>
        <w:t>2020</w:t>
      </w:r>
      <w:r w:rsidR="000F0EA3" w:rsidRPr="00650F74">
        <w:t xml:space="preserve">. godinu. </w:t>
      </w:r>
      <w:r w:rsidRPr="00137CB4">
        <w:t xml:space="preserve">U </w:t>
      </w:r>
      <w:r>
        <w:t>2021. godini Grad je subvencionirao</w:t>
      </w:r>
      <w:r w:rsidRPr="00137CB4">
        <w:t xml:space="preserve"> trgovačko društvo </w:t>
      </w:r>
      <w:r>
        <w:t>Gacka d.o.o. za umanjenje cijene odvoza kućnog otpada za korisnike. Grad sufinancira cijenu odvoza kućnog otpada 10% po računu korisnika.</w:t>
      </w:r>
    </w:p>
    <w:p w:rsidR="008D4EA9" w:rsidRPr="00650F74" w:rsidRDefault="008D4EA9" w:rsidP="00137CB4">
      <w:pPr>
        <w:ind w:firstLine="708"/>
        <w:jc w:val="both"/>
      </w:pPr>
    </w:p>
    <w:p w:rsidR="008D4EA9" w:rsidRPr="00650F74" w:rsidRDefault="00765693" w:rsidP="00137CB4">
      <w:pPr>
        <w:ind w:firstLine="708"/>
        <w:jc w:val="both"/>
      </w:pPr>
      <w:r>
        <w:t>AOP 214</w:t>
      </w:r>
      <w:r w:rsidR="008D4EA9" w:rsidRPr="00650F74">
        <w:t xml:space="preserve"> Subvencije trgovačkim društvima, zadrugama, poljoprivrednicima i o</w:t>
      </w:r>
      <w:r>
        <w:t xml:space="preserve">brtnicima izvan javnog sektora povećane </w:t>
      </w:r>
      <w:r w:rsidR="00DD7FF6" w:rsidRPr="00650F74">
        <w:t>su u</w:t>
      </w:r>
      <w:r>
        <w:t xml:space="preserve"> odnosu na prošlu godinu. </w:t>
      </w:r>
      <w:r w:rsidRPr="00650F74">
        <w:t xml:space="preserve"> </w:t>
      </w:r>
      <w:r w:rsidR="00DD7FF6" w:rsidRPr="00650F74">
        <w:t xml:space="preserve">Razlog su </w:t>
      </w:r>
      <w:r>
        <w:t>povećanja</w:t>
      </w:r>
      <w:r w:rsidR="007A0509" w:rsidRPr="00650F74">
        <w:t xml:space="preserve"> </w:t>
      </w:r>
      <w:r w:rsidR="00DD7FF6" w:rsidRPr="00650F74">
        <w:t>s</w:t>
      </w:r>
      <w:r w:rsidR="00314AB8" w:rsidRPr="00650F74">
        <w:t>ubvencije p</w:t>
      </w:r>
      <w:r w:rsidR="007A0509" w:rsidRPr="00650F74">
        <w:t>oljoprivrednicima i obrtnicima a to su subvencije za umjetno osjemenjivanje krava, mikročipiranje pasa, steriliza</w:t>
      </w:r>
      <w:r w:rsidR="00DD7FF6" w:rsidRPr="00650F74">
        <w:t>cija i k</w:t>
      </w:r>
      <w:r>
        <w:t>astracija pasa i mačaka.</w:t>
      </w:r>
    </w:p>
    <w:p w:rsidR="00765693" w:rsidRDefault="00765693" w:rsidP="00765693">
      <w:pPr>
        <w:jc w:val="both"/>
        <w:rPr>
          <w:color w:val="000000" w:themeColor="text1"/>
        </w:rPr>
      </w:pPr>
    </w:p>
    <w:p w:rsidR="00765693" w:rsidRDefault="00765693" w:rsidP="0076569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231 Pomoći proračunskim korisnicima drugih proračuna odnosi se na kapitalnu pomoć Domu zdravlja Otočac za nabavu ginekološkog ultrazvuka.</w:t>
      </w:r>
    </w:p>
    <w:p w:rsidR="00765693" w:rsidRDefault="00765693" w:rsidP="00137CB4">
      <w:pPr>
        <w:ind w:firstLine="708"/>
        <w:jc w:val="both"/>
        <w:rPr>
          <w:color w:val="000000" w:themeColor="text1"/>
        </w:rPr>
      </w:pPr>
    </w:p>
    <w:p w:rsidR="00314AB8" w:rsidRPr="00650F74" w:rsidRDefault="0096009F" w:rsidP="00137CB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AOP 235</w:t>
      </w:r>
      <w:r w:rsidR="00314AB8" w:rsidRPr="00650F74">
        <w:rPr>
          <w:color w:val="000000" w:themeColor="text1"/>
        </w:rPr>
        <w:t xml:space="preserve"> Prijenosi proračunskim korisnicima iz nadležnog proračun za financi</w:t>
      </w:r>
      <w:r w:rsidR="007A0509" w:rsidRPr="00650F74">
        <w:rPr>
          <w:color w:val="000000" w:themeColor="text1"/>
        </w:rPr>
        <w:t>ranje redovne djelatnost</w:t>
      </w:r>
      <w:r>
        <w:rPr>
          <w:color w:val="000000" w:themeColor="text1"/>
        </w:rPr>
        <w:t>i u 2021. godini. U 2021</w:t>
      </w:r>
      <w:r w:rsidR="007A0509" w:rsidRPr="00650F74">
        <w:rPr>
          <w:color w:val="000000" w:themeColor="text1"/>
        </w:rPr>
        <w:t xml:space="preserve">. </w:t>
      </w:r>
      <w:r w:rsidR="00314AB8" w:rsidRPr="00650F74">
        <w:rPr>
          <w:color w:val="000000" w:themeColor="text1"/>
        </w:rPr>
        <w:t xml:space="preserve">godini </w:t>
      </w:r>
      <w:r w:rsidR="00A017DF" w:rsidRPr="00650F74">
        <w:rPr>
          <w:color w:val="000000" w:themeColor="text1"/>
        </w:rPr>
        <w:t>G</w:t>
      </w:r>
      <w:r w:rsidR="00314AB8" w:rsidRPr="00650F74">
        <w:rPr>
          <w:color w:val="000000" w:themeColor="text1"/>
        </w:rPr>
        <w:t xml:space="preserve">rad je financirao 4 proračunska korisnika i to: </w:t>
      </w:r>
      <w:r w:rsidR="00961587" w:rsidRPr="00650F74">
        <w:rPr>
          <w:color w:val="000000" w:themeColor="text1"/>
        </w:rPr>
        <w:t xml:space="preserve">Gacko pučko otvoreno učilište  u iznosu od </w:t>
      </w:r>
      <w:r>
        <w:rPr>
          <w:color w:val="000000" w:themeColor="text1"/>
        </w:rPr>
        <w:t>250.224,93</w:t>
      </w:r>
      <w:r w:rsidR="008C2C9E" w:rsidRPr="00650F74">
        <w:rPr>
          <w:color w:val="000000" w:themeColor="text1"/>
        </w:rPr>
        <w:t xml:space="preserve"> kn</w:t>
      </w:r>
      <w:r w:rsidR="00961587" w:rsidRPr="00650F74">
        <w:rPr>
          <w:color w:val="000000" w:themeColor="text1"/>
        </w:rPr>
        <w:t xml:space="preserve">, dječji vrtić Ciciban u iznosu </w:t>
      </w:r>
      <w:r w:rsidR="00961587" w:rsidRPr="00650F74">
        <w:rPr>
          <w:color w:val="000000" w:themeColor="text1"/>
        </w:rPr>
        <w:lastRenderedPageBreak/>
        <w:t xml:space="preserve">od  </w:t>
      </w:r>
      <w:r>
        <w:rPr>
          <w:color w:val="000000" w:themeColor="text1"/>
        </w:rPr>
        <w:t>607.537,84</w:t>
      </w:r>
      <w:r w:rsidR="007E78A0" w:rsidRPr="00650F74">
        <w:rPr>
          <w:color w:val="000000" w:themeColor="text1"/>
        </w:rPr>
        <w:t xml:space="preserve"> </w:t>
      </w:r>
      <w:r w:rsidR="008C2C9E" w:rsidRPr="00650F74">
        <w:rPr>
          <w:color w:val="000000" w:themeColor="text1"/>
        </w:rPr>
        <w:t>kn</w:t>
      </w:r>
      <w:r w:rsidR="00961587" w:rsidRPr="00650F74">
        <w:rPr>
          <w:color w:val="000000" w:themeColor="text1"/>
        </w:rPr>
        <w:t xml:space="preserve">, Javnu ustanovu Narodnu knjižnicu sa  iznosom od </w:t>
      </w:r>
      <w:r>
        <w:rPr>
          <w:color w:val="000000" w:themeColor="text1"/>
        </w:rPr>
        <w:t>115.937,92</w:t>
      </w:r>
      <w:r w:rsidR="00961587" w:rsidRPr="00650F74">
        <w:rPr>
          <w:color w:val="000000" w:themeColor="text1"/>
        </w:rPr>
        <w:t xml:space="preserve"> k</w:t>
      </w:r>
      <w:r w:rsidR="008C2C9E" w:rsidRPr="00650F74">
        <w:rPr>
          <w:color w:val="000000" w:themeColor="text1"/>
        </w:rPr>
        <w:t>n</w:t>
      </w:r>
      <w:r w:rsidR="00961587" w:rsidRPr="00650F74">
        <w:rPr>
          <w:color w:val="000000" w:themeColor="text1"/>
        </w:rPr>
        <w:t xml:space="preserve"> i Centar za pomoć u kući sa iznosom od </w:t>
      </w:r>
      <w:r>
        <w:rPr>
          <w:color w:val="000000" w:themeColor="text1"/>
        </w:rPr>
        <w:t>55.223,18</w:t>
      </w:r>
      <w:r w:rsidR="00961587" w:rsidRPr="00650F74">
        <w:rPr>
          <w:color w:val="000000" w:themeColor="text1"/>
        </w:rPr>
        <w:t xml:space="preserve"> k</w:t>
      </w:r>
      <w:r w:rsidR="008C2C9E" w:rsidRPr="00650F74">
        <w:rPr>
          <w:color w:val="000000" w:themeColor="text1"/>
        </w:rPr>
        <w:t>n</w:t>
      </w:r>
      <w:r w:rsidR="00961587" w:rsidRPr="00650F74">
        <w:rPr>
          <w:color w:val="000000" w:themeColor="text1"/>
        </w:rPr>
        <w:t xml:space="preserve">. </w:t>
      </w:r>
    </w:p>
    <w:p w:rsidR="000642AB" w:rsidRPr="00650F74" w:rsidRDefault="000642AB" w:rsidP="00137CB4">
      <w:pPr>
        <w:ind w:firstLine="708"/>
        <w:jc w:val="both"/>
      </w:pPr>
    </w:p>
    <w:p w:rsidR="000642AB" w:rsidRPr="00650F74" w:rsidRDefault="000642AB" w:rsidP="00137CB4">
      <w:pPr>
        <w:ind w:firstLine="708"/>
        <w:jc w:val="both"/>
      </w:pPr>
      <w:r w:rsidRPr="00650F74">
        <w:t xml:space="preserve">AOP </w:t>
      </w:r>
      <w:r w:rsidR="00765693">
        <w:t>254</w:t>
      </w:r>
      <w:r w:rsidRPr="00650F74">
        <w:t xml:space="preserve"> Ostale naknade građanima i kućanstvima iz proračuna </w:t>
      </w:r>
      <w:r w:rsidR="001A42B3">
        <w:t>smanjene su u odnosu na 2020</w:t>
      </w:r>
      <w:r w:rsidR="007A0509" w:rsidRPr="00650F74">
        <w:t>.</w:t>
      </w:r>
      <w:r w:rsidR="000F0EA3" w:rsidRPr="00650F74">
        <w:t xml:space="preserve"> </w:t>
      </w:r>
      <w:r w:rsidR="007A0509" w:rsidRPr="00650F74">
        <w:t xml:space="preserve">godinu za </w:t>
      </w:r>
      <w:r w:rsidR="007E78A0" w:rsidRPr="00650F74">
        <w:t>-</w:t>
      </w:r>
      <w:r w:rsidR="00765693">
        <w:t>15,7</w:t>
      </w:r>
      <w:r w:rsidR="007A0509" w:rsidRPr="00650F74">
        <w:t xml:space="preserve"> %. </w:t>
      </w:r>
      <w:r w:rsidRPr="00650F74">
        <w:t>Na ovom računu knjižene su subvencije</w:t>
      </w:r>
      <w:r w:rsidR="00CA5AF8" w:rsidRPr="00650F74">
        <w:t xml:space="preserve"> stanarine</w:t>
      </w:r>
      <w:r w:rsidRPr="00650F74">
        <w:t>,</w:t>
      </w:r>
      <w:r w:rsidR="007E78A0" w:rsidRPr="00650F74">
        <w:t xml:space="preserve"> stipendije, </w:t>
      </w:r>
      <w:r w:rsidRPr="00650F74">
        <w:t xml:space="preserve"> pomoć obitelji  za novorođeno dijete</w:t>
      </w:r>
      <w:r w:rsidR="00CA5AF8" w:rsidRPr="00650F74">
        <w:t>, jedno</w:t>
      </w:r>
      <w:r w:rsidR="007E78A0" w:rsidRPr="00650F74">
        <w:t xml:space="preserve">kratne novčane pomoći i </w:t>
      </w:r>
      <w:r w:rsidR="00CA5AF8" w:rsidRPr="00650F74">
        <w:t xml:space="preserve">ostale pomoći socijalno </w:t>
      </w:r>
      <w:r w:rsidR="00765693">
        <w:t>ugroženom stanovništvu.</w:t>
      </w:r>
    </w:p>
    <w:p w:rsidR="00CA5AF8" w:rsidRPr="00650F74" w:rsidRDefault="00CA5AF8" w:rsidP="00137CB4">
      <w:pPr>
        <w:ind w:firstLine="708"/>
        <w:jc w:val="both"/>
      </w:pPr>
    </w:p>
    <w:p w:rsidR="00CA5AF8" w:rsidRPr="00650F74" w:rsidRDefault="00CA5AF8" w:rsidP="00137CB4">
      <w:pPr>
        <w:ind w:firstLine="708"/>
        <w:jc w:val="both"/>
      </w:pPr>
      <w:r w:rsidRPr="00650F74">
        <w:t xml:space="preserve">AOP </w:t>
      </w:r>
      <w:r w:rsidR="00765693">
        <w:t>259</w:t>
      </w:r>
      <w:r w:rsidRPr="00650F74">
        <w:t xml:space="preserve"> Tekuće donacije, </w:t>
      </w:r>
      <w:r w:rsidR="007E78A0" w:rsidRPr="00650F74">
        <w:t>smanjene</w:t>
      </w:r>
      <w:r w:rsidRPr="00650F74">
        <w:t xml:space="preserve"> s</w:t>
      </w:r>
      <w:r w:rsidR="007A0509" w:rsidRPr="00650F74">
        <w:t xml:space="preserve">u u odnosu na prethodnu godinu za </w:t>
      </w:r>
      <w:r w:rsidR="007E78A0" w:rsidRPr="00650F74">
        <w:t>-</w:t>
      </w:r>
      <w:r w:rsidR="00765693">
        <w:t>38,7%.</w:t>
      </w:r>
      <w:r w:rsidR="007A0509" w:rsidRPr="00650F74">
        <w:t xml:space="preserve"> </w:t>
      </w:r>
      <w:r w:rsidRPr="00650F74">
        <w:t xml:space="preserve">Na računu 3811 evidentirane su donacije Ustanovama, </w:t>
      </w:r>
      <w:r w:rsidRPr="00765693">
        <w:rPr>
          <w:color w:val="000000" w:themeColor="text1"/>
        </w:rPr>
        <w:t>neprofitnim organizacijama i udrugam</w:t>
      </w:r>
      <w:r w:rsidR="001A42B3">
        <w:rPr>
          <w:color w:val="000000" w:themeColor="text1"/>
        </w:rPr>
        <w:t>a u 2021. godini. Grad je u 2021</w:t>
      </w:r>
      <w:r w:rsidR="007A0509" w:rsidRPr="00765693">
        <w:rPr>
          <w:color w:val="000000" w:themeColor="text1"/>
        </w:rPr>
        <w:t>.</w:t>
      </w:r>
      <w:r w:rsidRPr="00765693">
        <w:rPr>
          <w:color w:val="000000" w:themeColor="text1"/>
        </w:rPr>
        <w:t xml:space="preserve"> godini doznačivao donacije Vatrogasnoj zajednici Grad</w:t>
      </w:r>
      <w:r w:rsidR="00A017DF" w:rsidRPr="00765693">
        <w:rPr>
          <w:color w:val="000000" w:themeColor="text1"/>
        </w:rPr>
        <w:t>a</w:t>
      </w:r>
      <w:r w:rsidRPr="00765693">
        <w:rPr>
          <w:color w:val="000000" w:themeColor="text1"/>
        </w:rPr>
        <w:t xml:space="preserve"> </w:t>
      </w:r>
      <w:r w:rsidR="001A42B3">
        <w:rPr>
          <w:color w:val="000000" w:themeColor="text1"/>
        </w:rPr>
        <w:t>Otočca, Hrvatskom crvenom križu- Gradska Organizacija Otočac i</w:t>
      </w:r>
      <w:r w:rsidRPr="00765693">
        <w:rPr>
          <w:color w:val="000000" w:themeColor="text1"/>
        </w:rPr>
        <w:t xml:space="preserve"> Hrvatsk</w:t>
      </w:r>
      <w:r w:rsidR="00A017DF" w:rsidRPr="00765693">
        <w:rPr>
          <w:color w:val="000000" w:themeColor="text1"/>
        </w:rPr>
        <w:t>om</w:t>
      </w:r>
      <w:r w:rsidRPr="00765693">
        <w:rPr>
          <w:color w:val="000000" w:themeColor="text1"/>
        </w:rPr>
        <w:t xml:space="preserve"> centr</w:t>
      </w:r>
      <w:r w:rsidR="00A017DF" w:rsidRPr="00765693">
        <w:rPr>
          <w:color w:val="000000" w:themeColor="text1"/>
        </w:rPr>
        <w:t>u</w:t>
      </w:r>
      <w:r w:rsidRPr="00765693">
        <w:rPr>
          <w:color w:val="000000" w:themeColor="text1"/>
        </w:rPr>
        <w:t xml:space="preserve"> za autohtone vrste riba i rakova</w:t>
      </w:r>
      <w:r w:rsidR="001A42B3">
        <w:rPr>
          <w:color w:val="000000" w:themeColor="text1"/>
        </w:rPr>
        <w:t>.</w:t>
      </w:r>
    </w:p>
    <w:p w:rsidR="00D33C11" w:rsidRPr="00650F74" w:rsidRDefault="00D33C11" w:rsidP="007E78A0">
      <w:pPr>
        <w:jc w:val="both"/>
      </w:pPr>
    </w:p>
    <w:p w:rsidR="00CA5AF8" w:rsidRPr="00650F74" w:rsidRDefault="00D33C11" w:rsidP="00137CB4">
      <w:pPr>
        <w:ind w:firstLine="708"/>
        <w:jc w:val="both"/>
      </w:pPr>
      <w:r w:rsidRPr="00650F74">
        <w:t>AOP 29</w:t>
      </w:r>
      <w:r w:rsidR="006A25BE">
        <w:t>4</w:t>
      </w:r>
      <w:r w:rsidR="00765693">
        <w:t xml:space="preserve"> Prihod od prodaje</w:t>
      </w:r>
      <w:r w:rsidRPr="00650F74">
        <w:t xml:space="preserve"> materijalne imovine </w:t>
      </w:r>
      <w:r w:rsidR="006A25BE">
        <w:t>povećani je u odnosu na 2020</w:t>
      </w:r>
      <w:r w:rsidR="007E78A0" w:rsidRPr="00650F74">
        <w:t xml:space="preserve">. Godinu </w:t>
      </w:r>
      <w:r w:rsidR="00D153F8" w:rsidRPr="00650F74">
        <w:t xml:space="preserve">odnosno za </w:t>
      </w:r>
      <w:r w:rsidR="006A25BE">
        <w:t>15,8</w:t>
      </w:r>
      <w:r w:rsidR="00D153F8" w:rsidRPr="00650F74">
        <w:t xml:space="preserve">% te </w:t>
      </w:r>
      <w:r w:rsidR="006A25BE">
        <w:t xml:space="preserve">se </w:t>
      </w:r>
      <w:r w:rsidRPr="00650F74">
        <w:t>ovaj prihod odnosi na prodaju zemljišta u Poslovnoj zoni O</w:t>
      </w:r>
      <w:r w:rsidR="007E78A0" w:rsidRPr="00650F74">
        <w:t>točac.</w:t>
      </w:r>
    </w:p>
    <w:p w:rsidR="00D33C11" w:rsidRPr="00650F74" w:rsidRDefault="00D33C11" w:rsidP="00137CB4">
      <w:pPr>
        <w:ind w:firstLine="708"/>
        <w:jc w:val="both"/>
      </w:pPr>
    </w:p>
    <w:p w:rsidR="00D65E7F" w:rsidRPr="00650F74" w:rsidRDefault="00E95EF6" w:rsidP="00137CB4">
      <w:pPr>
        <w:ind w:firstLine="708"/>
        <w:jc w:val="both"/>
      </w:pPr>
      <w:r>
        <w:t>AOP 305</w:t>
      </w:r>
      <w:r w:rsidR="00D33C11" w:rsidRPr="00650F74">
        <w:t xml:space="preserve"> Prihod o prodaje građevinskih obj</w:t>
      </w:r>
      <w:r w:rsidR="00D153F8" w:rsidRPr="00650F74">
        <w:t xml:space="preserve">ekta </w:t>
      </w:r>
      <w:r w:rsidR="006A25BE">
        <w:t>smanjen je u odnosu na 2020</w:t>
      </w:r>
      <w:r w:rsidR="007E78A0" w:rsidRPr="00650F74">
        <w:t xml:space="preserve">. </w:t>
      </w:r>
      <w:r w:rsidR="00D33C11" w:rsidRPr="00650F74">
        <w:t xml:space="preserve">godinu </w:t>
      </w:r>
      <w:r w:rsidR="007E78A0" w:rsidRPr="00650F74">
        <w:t xml:space="preserve">odnosno za </w:t>
      </w:r>
      <w:r w:rsidR="006A25BE">
        <w:t>47,4</w:t>
      </w:r>
      <w:r w:rsidR="007E78A0" w:rsidRPr="00650F74">
        <w:t>%.</w:t>
      </w:r>
      <w:r w:rsidR="00D33C11" w:rsidRPr="00650F74">
        <w:t xml:space="preserve"> Na računu 7211 evidentiran je prihod od prodaje stanova na kojima postoji stanarsko pravo. Otplata ovih stanova bliži se kraju i </w:t>
      </w:r>
      <w:r w:rsidR="00CC5346" w:rsidRPr="00650F74">
        <w:t>vlasnici stanova  većinom otplaćuju stanove u cijelosti ( mali broj rata do konačne otplate).</w:t>
      </w:r>
      <w:r w:rsidR="00E3124F">
        <w:t xml:space="preserve"> </w:t>
      </w:r>
      <w:r w:rsidR="00CC5346" w:rsidRPr="00650F74">
        <w:t>Grad je u obvezi 55% od prikupljenih sredstava uplatiti u Državni proračun dok 45 % sredstava ostaje Gradu za zbrinjavanje socijalnih slučajeva. Grad svoje obveze prema Ministarstvu financija uredno podmiruje.</w:t>
      </w:r>
    </w:p>
    <w:p w:rsidR="000C6618" w:rsidRPr="00650F74" w:rsidRDefault="000C6618" w:rsidP="00137CB4">
      <w:pPr>
        <w:ind w:firstLine="708"/>
        <w:jc w:val="both"/>
      </w:pPr>
    </w:p>
    <w:p w:rsidR="001B4546" w:rsidRPr="00650F74" w:rsidRDefault="000C6618" w:rsidP="007E78A0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 w:rsidR="00BD2B63">
        <w:t>360</w:t>
      </w:r>
      <w:r w:rsidR="007E78A0" w:rsidRPr="00650F74">
        <w:t xml:space="preserve"> </w:t>
      </w:r>
      <w:r w:rsidR="00E95EF6">
        <w:t>Poslovni objekti</w:t>
      </w:r>
      <w:r w:rsidR="007E78A0" w:rsidRPr="00650F74">
        <w:t xml:space="preserve"> </w:t>
      </w:r>
      <w:r w:rsidR="00E95EF6">
        <w:t xml:space="preserve">povećani su u odnosu na 2020. godinu, kada ulaganja nije bilo. Navedeni iznos odnosi </w:t>
      </w:r>
      <w:r w:rsidR="007E78A0" w:rsidRPr="00650F74">
        <w:t xml:space="preserve">se na </w:t>
      </w:r>
      <w:r w:rsidR="00E95EF6">
        <w:t xml:space="preserve">uređenje i adaptaciju Doma Prozor (krov, fasada i </w:t>
      </w:r>
      <w:r w:rsidR="00BD2B63">
        <w:t>stolarija</w:t>
      </w:r>
      <w:r w:rsidR="00E95EF6">
        <w:t>). Navedeni radovi započeli su još krajem 2020. godine.</w:t>
      </w:r>
    </w:p>
    <w:p w:rsidR="00541A04" w:rsidRDefault="00541A04" w:rsidP="00137CB4">
      <w:pPr>
        <w:ind w:firstLine="708"/>
        <w:jc w:val="both"/>
      </w:pPr>
    </w:p>
    <w:p w:rsidR="00E95EF6" w:rsidRPr="00650F74" w:rsidRDefault="00E95EF6" w:rsidP="00E95EF6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>
        <w:t>364</w:t>
      </w:r>
      <w:r w:rsidRPr="00650F74">
        <w:t xml:space="preserve"> </w:t>
      </w:r>
      <w:r>
        <w:t xml:space="preserve">Uredska oprema i namještaj odnosi se na nabavu računala i uredskih stolica. Nabava navedene opreme je povećana u odnosu na 2020.godinu za 26,6%. </w:t>
      </w:r>
    </w:p>
    <w:p w:rsidR="00E95EF6" w:rsidRDefault="00E95EF6" w:rsidP="00BD2B63">
      <w:pPr>
        <w:jc w:val="both"/>
      </w:pPr>
    </w:p>
    <w:p w:rsidR="00E95EF6" w:rsidRPr="00650F74" w:rsidRDefault="00E95EF6" w:rsidP="00E95EF6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>
        <w:t>370</w:t>
      </w:r>
      <w:r w:rsidRPr="00650F74">
        <w:t xml:space="preserve"> </w:t>
      </w:r>
      <w:r>
        <w:t xml:space="preserve">Uređaji, strojevi i oprema za ostale namjene povećani su u odnosu na 2020.godinu, a odnosi se na nabavu kamere za kuglanu koja će se koristiti u svrhu održavanja Svjetskog kuglačkog kupa. Te nabavu spremnika za odvojeno prikupljanje otpada. </w:t>
      </w:r>
    </w:p>
    <w:p w:rsidR="00E95EF6" w:rsidRPr="00650F74" w:rsidRDefault="00E95EF6" w:rsidP="00BD2B63">
      <w:pPr>
        <w:jc w:val="both"/>
      </w:pPr>
    </w:p>
    <w:p w:rsidR="00541A04" w:rsidRPr="00650F74" w:rsidRDefault="007E78A0" w:rsidP="00137CB4">
      <w:pPr>
        <w:ind w:firstLine="708"/>
        <w:jc w:val="both"/>
      </w:pPr>
      <w:r w:rsidRPr="00650F74">
        <w:t xml:space="preserve">AOP </w:t>
      </w:r>
      <w:r w:rsidR="00E95EF6">
        <w:t>400</w:t>
      </w:r>
      <w:r w:rsidR="00541A04" w:rsidRPr="00650F74">
        <w:t xml:space="preserve"> </w:t>
      </w:r>
      <w:r w:rsidR="00E95EF6">
        <w:t>Dodatna ulaganja za ostalu nefinancijsku imovinu odnose se na uređenje sale te sanitarija u Domu Prozor.</w:t>
      </w:r>
    </w:p>
    <w:p w:rsidR="00541A04" w:rsidRDefault="00541A04" w:rsidP="00137CB4">
      <w:pPr>
        <w:ind w:firstLine="708"/>
        <w:jc w:val="both"/>
      </w:pPr>
    </w:p>
    <w:p w:rsidR="00B50515" w:rsidRPr="00650F74" w:rsidRDefault="00B50515" w:rsidP="00137CB4">
      <w:pPr>
        <w:ind w:firstLine="708"/>
        <w:jc w:val="both"/>
      </w:pPr>
    </w:p>
    <w:p w:rsidR="00B50515" w:rsidRDefault="00B50515" w:rsidP="00B50515">
      <w:pPr>
        <w:jc w:val="both"/>
        <w:rPr>
          <w:b/>
        </w:rPr>
      </w:pPr>
      <w:r w:rsidRPr="00B50515">
        <w:rPr>
          <w:b/>
        </w:rPr>
        <w:t>Rekapitalacija ukupnih prihoda i rashoda:</w:t>
      </w:r>
    </w:p>
    <w:p w:rsidR="00B50515" w:rsidRPr="00B50515" w:rsidRDefault="00B50515" w:rsidP="00B50515">
      <w:pPr>
        <w:jc w:val="both"/>
        <w:rPr>
          <w:b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3659"/>
      </w:tblGrid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UKUPNI PRIHODI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F76D46" w:rsidP="00650F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12.118.578,42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UKUPNI RASHODI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F76D46" w:rsidP="00650F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-5.111.990,38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VIŠAK (RAZLIKA PRIHODA I RASHODA)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F76D46" w:rsidP="00650F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7.000.588,04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VIŠAK PRIHODA PRENESENI</w:t>
            </w:r>
            <w:r w:rsidR="00B50515">
              <w:rPr>
                <w:color w:val="000000"/>
              </w:rPr>
              <w:t xml:space="preserve"> 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F76D46" w:rsidP="00650F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7.632.761,68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b/>
                <w:color w:val="000000"/>
              </w:rPr>
            </w:pPr>
            <w:r w:rsidRPr="00650F74">
              <w:rPr>
                <w:b/>
                <w:color w:val="000000"/>
              </w:rPr>
              <w:t xml:space="preserve">UKUPAN VIŠAK 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F76D46" w:rsidP="00650F7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14.639.349,72</w:t>
            </w:r>
          </w:p>
        </w:tc>
      </w:tr>
    </w:tbl>
    <w:p w:rsidR="00650F74" w:rsidRDefault="00273F86" w:rsidP="00692800">
      <w:pPr>
        <w:ind w:firstLine="357"/>
      </w:pPr>
      <w:bookmarkStart w:id="0" w:name="_GoBack"/>
      <w:bookmarkEnd w:id="0"/>
      <w:r>
        <w:lastRenderedPageBreak/>
        <w:t>Stanje novaca na ž</w:t>
      </w:r>
      <w:r w:rsidR="00692800">
        <w:t>iro-računu na dan 31.03.2021.godine iznosi 21.809.714,66 kn.</w:t>
      </w:r>
    </w:p>
    <w:p w:rsidR="00650F74" w:rsidRDefault="00650F74" w:rsidP="009808AD">
      <w:pPr>
        <w:ind w:firstLine="708"/>
        <w:jc w:val="both"/>
      </w:pPr>
    </w:p>
    <w:p w:rsidR="00650F74" w:rsidRDefault="00650F74" w:rsidP="005E776A">
      <w:r>
        <w:t>Ukupno stanje potraživanja na dan 31.03.202</w:t>
      </w:r>
      <w:r w:rsidR="00F76D46">
        <w:t>1</w:t>
      </w:r>
      <w:r>
        <w:t>.godine iznosi</w:t>
      </w:r>
      <w:r w:rsidR="005E776A">
        <w:t xml:space="preserve"> </w:t>
      </w:r>
      <w:r w:rsidR="00F76D46" w:rsidRPr="00650F74">
        <w:rPr>
          <w:color w:val="000000"/>
        </w:rPr>
        <w:t>2.</w:t>
      </w:r>
      <w:r w:rsidR="00F76D46">
        <w:rPr>
          <w:color w:val="000000"/>
        </w:rPr>
        <w:t xml:space="preserve">086.109,11 </w:t>
      </w:r>
      <w:r w:rsidR="005E776A">
        <w:t>kuna.</w:t>
      </w:r>
    </w:p>
    <w:p w:rsidR="00650F74" w:rsidRDefault="00650F74" w:rsidP="009808AD">
      <w:pPr>
        <w:ind w:firstLine="708"/>
        <w:jc w:val="both"/>
      </w:pPr>
    </w:p>
    <w:tbl>
      <w:tblPr>
        <w:tblW w:w="9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00"/>
      </w:tblGrid>
      <w:tr w:rsidR="00650F74" w:rsidRPr="00650F74" w:rsidTr="00B50515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Potraživanja za prihode poslovanja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F76D46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1.</w:t>
            </w:r>
            <w:r w:rsidR="00F76D46">
              <w:rPr>
                <w:color w:val="000000"/>
              </w:rPr>
              <w:t>631.992,37</w:t>
            </w:r>
          </w:p>
        </w:tc>
      </w:tr>
      <w:tr w:rsidR="00650F74" w:rsidRPr="00650F74" w:rsidTr="00B50515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Potraživanja od prodaje dugotrajne imovine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650F74" w:rsidRPr="00650F74" w:rsidRDefault="00F76D46" w:rsidP="00650F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454.116,74</w:t>
            </w:r>
          </w:p>
        </w:tc>
      </w:tr>
      <w:tr w:rsidR="00650F74" w:rsidRPr="00650F74" w:rsidTr="00B50515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UKUPNO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F76D46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2.</w:t>
            </w:r>
            <w:r w:rsidR="00F76D46">
              <w:rPr>
                <w:color w:val="000000"/>
              </w:rPr>
              <w:t>086.109,11</w:t>
            </w:r>
          </w:p>
        </w:tc>
      </w:tr>
    </w:tbl>
    <w:p w:rsidR="00650F74" w:rsidRDefault="00650F74" w:rsidP="009808AD">
      <w:pPr>
        <w:ind w:firstLine="708"/>
        <w:jc w:val="both"/>
      </w:pPr>
    </w:p>
    <w:p w:rsidR="005E776A" w:rsidRPr="00650F74" w:rsidRDefault="005E776A" w:rsidP="00F91F70">
      <w:pPr>
        <w:jc w:val="both"/>
      </w:pPr>
    </w:p>
    <w:p w:rsidR="00922E9C" w:rsidRPr="00650F74" w:rsidRDefault="00922E9C" w:rsidP="00922E9C">
      <w:pPr>
        <w:numPr>
          <w:ilvl w:val="0"/>
          <w:numId w:val="1"/>
        </w:numPr>
        <w:jc w:val="both"/>
        <w:rPr>
          <w:b/>
        </w:rPr>
      </w:pPr>
      <w:r w:rsidRPr="00650F74">
        <w:rPr>
          <w:b/>
        </w:rPr>
        <w:t>Bilješke uz Izvještaj o obvezama</w:t>
      </w:r>
    </w:p>
    <w:p w:rsidR="009949CB" w:rsidRPr="00650F74" w:rsidRDefault="009949CB" w:rsidP="009949CB">
      <w:pPr>
        <w:jc w:val="both"/>
        <w:rPr>
          <w:b/>
        </w:rPr>
      </w:pPr>
    </w:p>
    <w:p w:rsidR="007172A2" w:rsidRPr="00650F74" w:rsidRDefault="009949CB" w:rsidP="009949CB">
      <w:pPr>
        <w:ind w:firstLine="527"/>
        <w:jc w:val="both"/>
      </w:pPr>
      <w:r w:rsidRPr="00650F74">
        <w:t xml:space="preserve">Ukupno stanje obveza u razdoblju od 1. siječnja do 31. </w:t>
      </w:r>
      <w:r w:rsidR="00EF5FC4">
        <w:t>ožujka 2021</w:t>
      </w:r>
      <w:r w:rsidRPr="00650F74">
        <w:t xml:space="preserve">. godine iznosi </w:t>
      </w:r>
      <w:r w:rsidR="00EF5FC4">
        <w:t>12.123.157,17</w:t>
      </w:r>
      <w:r w:rsidRPr="00650F74">
        <w:t xml:space="preserve"> kn, a odnosi se na ukupno stanje obveza 1. siječnja u iznosu od 8.</w:t>
      </w:r>
      <w:r w:rsidR="00EF5FC4">
        <w:t>376.050,00  kn i</w:t>
      </w:r>
      <w:r w:rsidRPr="00650F74">
        <w:t xml:space="preserve"> </w:t>
      </w:r>
      <w:r w:rsidR="007172A2" w:rsidRPr="00650F74">
        <w:t xml:space="preserve">povećanje obveza u izvještajnom razdoblju za </w:t>
      </w:r>
      <w:r w:rsidR="00EF5FC4">
        <w:t>3.747.107,17</w:t>
      </w:r>
      <w:r w:rsidR="007172A2" w:rsidRPr="00650F74">
        <w:t xml:space="preserve"> kn.</w:t>
      </w:r>
    </w:p>
    <w:p w:rsidR="006A320F" w:rsidRPr="00650F74" w:rsidRDefault="007172A2" w:rsidP="007172A2">
      <w:pPr>
        <w:jc w:val="both"/>
      </w:pPr>
      <w:r w:rsidRPr="00650F74">
        <w:t>Stanje p</w:t>
      </w:r>
      <w:r w:rsidR="009949CB" w:rsidRPr="00650F74">
        <w:t xml:space="preserve">odmirenih obveza </w:t>
      </w:r>
      <w:r w:rsidRPr="00650F74">
        <w:t>u izvještajnom razdoblju iznosi</w:t>
      </w:r>
      <w:r w:rsidR="009949CB" w:rsidRPr="00650F74">
        <w:t xml:space="preserve"> </w:t>
      </w:r>
      <w:r w:rsidR="00EF5FC4">
        <w:t>4.460.336,31</w:t>
      </w:r>
      <w:r w:rsidR="009949CB" w:rsidRPr="00650F74">
        <w:t xml:space="preserve"> k</w:t>
      </w:r>
      <w:r w:rsidR="00A75142" w:rsidRPr="00650F74">
        <w:t>n</w:t>
      </w:r>
      <w:r w:rsidR="009949CB" w:rsidRPr="00650F74">
        <w:t xml:space="preserve"> te ukupno stanje dospjelih i nedospjelih obveza u izvještajnom razdoblju u iznosu od </w:t>
      </w:r>
      <w:r w:rsidR="00EF5FC4">
        <w:t>7.662.820,86</w:t>
      </w:r>
      <w:r w:rsidR="009949CB" w:rsidRPr="00650F74">
        <w:t xml:space="preserve"> kn. </w:t>
      </w:r>
    </w:p>
    <w:p w:rsidR="009949CB" w:rsidRPr="00650F74" w:rsidRDefault="009949CB" w:rsidP="007172A2">
      <w:pPr>
        <w:ind w:firstLine="708"/>
        <w:jc w:val="both"/>
      </w:pPr>
      <w:r w:rsidRPr="00650F74">
        <w:t>Stanje dospjelih</w:t>
      </w:r>
      <w:r w:rsidR="00805335" w:rsidRPr="00650F74">
        <w:t xml:space="preserve"> </w:t>
      </w:r>
      <w:r w:rsidRPr="00650F74">
        <w:t xml:space="preserve">i nedospjelih obveza </w:t>
      </w:r>
      <w:r w:rsidR="00805335" w:rsidRPr="00650F74">
        <w:t xml:space="preserve">na kraju izvještajnog razdoblja </w:t>
      </w:r>
      <w:r w:rsidRPr="00650F74">
        <w:t xml:space="preserve">u iznosu od </w:t>
      </w:r>
      <w:r w:rsidR="007172A2" w:rsidRPr="00650F74">
        <w:t>7.</w:t>
      </w:r>
      <w:r w:rsidR="00EF5FC4">
        <w:t>662.820,86</w:t>
      </w:r>
      <w:r w:rsidRPr="00650F74">
        <w:t xml:space="preserve"> kn odnose se na</w:t>
      </w:r>
      <w:r w:rsidR="006A320F" w:rsidRPr="00650F74">
        <w:t>:</w:t>
      </w:r>
    </w:p>
    <w:p w:rsidR="0083503D" w:rsidRPr="00650F74" w:rsidRDefault="007172A2" w:rsidP="0083503D">
      <w:pPr>
        <w:tabs>
          <w:tab w:val="decimal" w:pos="8222"/>
        </w:tabs>
        <w:ind w:left="917" w:right="-142"/>
        <w:jc w:val="both"/>
      </w:pPr>
      <w:r w:rsidRPr="00650F74">
        <w:t xml:space="preserve"> </w:t>
      </w:r>
      <w:r w:rsidR="0083503D" w:rsidRPr="00650F74">
        <w:t>Obveze za zaposlene</w:t>
      </w:r>
      <w:r w:rsidR="0083503D" w:rsidRPr="00650F74">
        <w:tab/>
      </w:r>
      <w:r w:rsidR="00EF5FC4">
        <w:t>413.970,33</w:t>
      </w:r>
      <w:r w:rsidRPr="00650F74">
        <w:t xml:space="preserve"> kn</w:t>
      </w:r>
      <w:r w:rsidR="0083503D" w:rsidRPr="00650F74">
        <w:tab/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materijalne rashode</w:t>
      </w:r>
      <w:r w:rsidRPr="00650F74">
        <w:tab/>
      </w:r>
      <w:r w:rsidR="00EF5FC4">
        <w:t>430.014,23</w:t>
      </w:r>
      <w:r w:rsidR="007172A2" w:rsidRPr="00650F74">
        <w:t xml:space="preserve"> kn</w:t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financijske rashode</w:t>
      </w:r>
      <w:r w:rsidRPr="00650F74">
        <w:tab/>
      </w:r>
      <w:r w:rsidR="00EF5FC4">
        <w:t>6.661.745,92</w:t>
      </w:r>
      <w:r w:rsidR="007172A2" w:rsidRPr="00650F74">
        <w:t xml:space="preserve"> kn</w:t>
      </w:r>
    </w:p>
    <w:p w:rsidR="0083503D" w:rsidRPr="00650F74" w:rsidRDefault="0083503D" w:rsidP="0083503D">
      <w:pPr>
        <w:tabs>
          <w:tab w:val="decimal" w:pos="8222"/>
        </w:tabs>
        <w:ind w:left="917" w:right="-142"/>
        <w:jc w:val="both"/>
      </w:pPr>
      <w:r w:rsidRPr="00650F74">
        <w:t xml:space="preserve"> Obveze za subvencije</w:t>
      </w:r>
      <w:r w:rsidRPr="00650F74">
        <w:tab/>
      </w:r>
      <w:r w:rsidR="00EF5FC4">
        <w:t>52.030,33</w:t>
      </w:r>
      <w:r w:rsidR="007172A2" w:rsidRPr="00650F74">
        <w:t xml:space="preserve"> kn</w:t>
      </w:r>
      <w:r w:rsidRPr="00650F74">
        <w:tab/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n</w:t>
      </w:r>
      <w:r w:rsidR="00EF5FC4">
        <w:t>aknade građanima i kućanstvima</w:t>
      </w:r>
      <w:r w:rsidR="00EF5FC4">
        <w:tab/>
        <w:t xml:space="preserve">6.296,00 </w:t>
      </w:r>
      <w:r w:rsidR="007172A2" w:rsidRPr="00650F74">
        <w:t>kn</w:t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nabavu nefinancijske imovine</w:t>
      </w:r>
      <w:r w:rsidRPr="00650F74">
        <w:tab/>
      </w:r>
      <w:r w:rsidR="00EF5FC4">
        <w:t xml:space="preserve">98.764,05 </w:t>
      </w:r>
      <w:r w:rsidR="007172A2" w:rsidRPr="00650F74">
        <w:t>kn.</w:t>
      </w:r>
    </w:p>
    <w:p w:rsidR="001B35B1" w:rsidRPr="00650F74" w:rsidRDefault="001B35B1" w:rsidP="006A320F">
      <w:pPr>
        <w:ind w:firstLine="527"/>
        <w:jc w:val="both"/>
      </w:pPr>
    </w:p>
    <w:p w:rsidR="002D3802" w:rsidRPr="00650F74" w:rsidRDefault="002D3802" w:rsidP="00137CB4">
      <w:pPr>
        <w:jc w:val="both"/>
      </w:pP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5E776A" w:rsidRPr="00650F74" w:rsidRDefault="005E776A" w:rsidP="00137CB4">
      <w:pPr>
        <w:tabs>
          <w:tab w:val="left" w:pos="5009"/>
        </w:tabs>
        <w:jc w:val="both"/>
        <w:rPr>
          <w:b/>
        </w:rPr>
      </w:pPr>
    </w:p>
    <w:p w:rsidR="00F316C9" w:rsidRPr="00650F74" w:rsidRDefault="00EF5FC4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>U Otočcu, 09</w:t>
      </w:r>
      <w:r w:rsidR="00D412A5" w:rsidRPr="00650F74">
        <w:rPr>
          <w:b/>
          <w:lang w:eastAsia="en-US"/>
        </w:rPr>
        <w:t>.</w:t>
      </w:r>
      <w:r w:rsidR="00137CB4" w:rsidRPr="00650F74">
        <w:rPr>
          <w:b/>
          <w:lang w:eastAsia="en-US"/>
        </w:rPr>
        <w:t xml:space="preserve"> </w:t>
      </w:r>
      <w:r>
        <w:rPr>
          <w:b/>
          <w:lang w:eastAsia="en-US"/>
        </w:rPr>
        <w:t>04</w:t>
      </w:r>
      <w:r w:rsidR="00D412A5" w:rsidRPr="00650F74">
        <w:rPr>
          <w:b/>
          <w:lang w:eastAsia="en-US"/>
        </w:rPr>
        <w:t>.</w:t>
      </w:r>
      <w:r w:rsidR="00137CB4" w:rsidRPr="00650F74">
        <w:rPr>
          <w:b/>
          <w:lang w:eastAsia="en-US"/>
        </w:rPr>
        <w:t xml:space="preserve"> </w:t>
      </w:r>
      <w:r>
        <w:rPr>
          <w:b/>
          <w:lang w:eastAsia="en-US"/>
        </w:rPr>
        <w:t>2021</w:t>
      </w:r>
      <w:r w:rsidR="00D412A5" w:rsidRPr="00650F74">
        <w:rPr>
          <w:b/>
          <w:lang w:eastAsia="en-US"/>
        </w:rPr>
        <w:t>.</w:t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137CB4" w:rsidRPr="00650F74">
        <w:rPr>
          <w:b/>
          <w:lang w:eastAsia="en-US"/>
        </w:rPr>
        <w:t xml:space="preserve">       </w:t>
      </w:r>
      <w:r w:rsidR="001B35B1" w:rsidRPr="00650F74">
        <w:rPr>
          <w:b/>
          <w:lang w:eastAsia="en-US"/>
        </w:rPr>
        <w:t xml:space="preserve"> </w:t>
      </w:r>
    </w:p>
    <w:p w:rsidR="00F316C9" w:rsidRPr="00650F74" w:rsidRDefault="00F316C9" w:rsidP="00137CB4">
      <w:pPr>
        <w:ind w:left="360"/>
        <w:rPr>
          <w:b/>
          <w:lang w:eastAsia="en-US"/>
        </w:rPr>
      </w:pPr>
    </w:p>
    <w:p w:rsidR="00D412A5" w:rsidRPr="00650F74" w:rsidRDefault="00F316C9" w:rsidP="00F316C9">
      <w:pPr>
        <w:ind w:left="360"/>
        <w:jc w:val="center"/>
        <w:rPr>
          <w:b/>
          <w:lang w:eastAsia="en-US"/>
        </w:rPr>
      </w:pPr>
      <w:r w:rsidRPr="00650F74">
        <w:rPr>
          <w:b/>
          <w:lang w:eastAsia="en-US"/>
        </w:rPr>
        <w:t xml:space="preserve">                                                                        </w:t>
      </w:r>
      <w:r w:rsidR="005118F8" w:rsidRPr="00650F74">
        <w:rPr>
          <w:b/>
          <w:lang w:eastAsia="en-US"/>
        </w:rPr>
        <w:t xml:space="preserve">        </w:t>
      </w:r>
      <w:r w:rsidRPr="00650F74">
        <w:rPr>
          <w:b/>
          <w:lang w:eastAsia="en-US"/>
        </w:rPr>
        <w:t xml:space="preserve">    </w:t>
      </w:r>
      <w:r w:rsidR="006456B3">
        <w:rPr>
          <w:b/>
          <w:lang w:eastAsia="en-US"/>
        </w:rPr>
        <w:t xml:space="preserve"> </w:t>
      </w:r>
      <w:r w:rsidR="00D412A5" w:rsidRPr="00650F74">
        <w:rPr>
          <w:b/>
          <w:lang w:eastAsia="en-US"/>
        </w:rPr>
        <w:t>Gradonačelnik</w:t>
      </w:r>
      <w:r w:rsidR="00137CB4" w:rsidRPr="00650F74">
        <w:rPr>
          <w:b/>
          <w:lang w:eastAsia="en-US"/>
        </w:rPr>
        <w:t>:</w:t>
      </w:r>
    </w:p>
    <w:p w:rsidR="00D412A5" w:rsidRPr="00650F74" w:rsidRDefault="00F316C9" w:rsidP="00137CB4">
      <w:pPr>
        <w:ind w:left="360"/>
        <w:jc w:val="both"/>
        <w:rPr>
          <w:b/>
          <w:lang w:eastAsia="en-US"/>
        </w:rPr>
      </w:pPr>
      <w:r w:rsidRPr="00650F74">
        <w:rPr>
          <w:b/>
          <w:lang w:eastAsia="en-US"/>
        </w:rPr>
        <w:t xml:space="preserve">  </w:t>
      </w:r>
    </w:p>
    <w:p w:rsidR="00D412A5" w:rsidRPr="00650F74" w:rsidRDefault="00D412A5" w:rsidP="00137CB4">
      <w:pPr>
        <w:ind w:left="360"/>
        <w:jc w:val="both"/>
        <w:rPr>
          <w:lang w:eastAsia="en-US"/>
        </w:rPr>
      </w:pP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="00F316C9" w:rsidRPr="00650F74">
        <w:rPr>
          <w:b/>
          <w:lang w:eastAsia="en-US"/>
        </w:rPr>
        <w:t xml:space="preserve">  </w:t>
      </w:r>
      <w:r w:rsidR="002C6D56">
        <w:rPr>
          <w:b/>
          <w:lang w:eastAsia="en-US"/>
        </w:rPr>
        <w:t xml:space="preserve">                                           </w:t>
      </w:r>
      <w:r w:rsidR="00F316C9" w:rsidRPr="00650F74">
        <w:rPr>
          <w:b/>
          <w:lang w:eastAsia="en-US"/>
        </w:rPr>
        <w:t xml:space="preserve"> </w:t>
      </w:r>
      <w:r w:rsidRPr="00650F74">
        <w:rPr>
          <w:b/>
          <w:lang w:eastAsia="en-US"/>
        </w:rPr>
        <w:t>Stjepan Kostelac, dr.vet.med</w:t>
      </w:r>
      <w:r w:rsidRPr="00650F74">
        <w:rPr>
          <w:lang w:eastAsia="en-US"/>
        </w:rPr>
        <w:t>.</w:t>
      </w:r>
    </w:p>
    <w:p w:rsidR="00D412A5" w:rsidRPr="00650F74" w:rsidRDefault="00D412A5" w:rsidP="00137CB4">
      <w:pPr>
        <w:jc w:val="both"/>
        <w:rPr>
          <w:b/>
        </w:rPr>
      </w:pPr>
    </w:p>
    <w:p w:rsidR="00D412A5" w:rsidRPr="00650F7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650F74" w:rsidRDefault="003459D1" w:rsidP="00137CB4">
      <w:pPr>
        <w:tabs>
          <w:tab w:val="left" w:pos="5009"/>
        </w:tabs>
        <w:jc w:val="both"/>
      </w:pPr>
    </w:p>
    <w:p w:rsidR="003459D1" w:rsidRPr="00650F74" w:rsidRDefault="003459D1" w:rsidP="00137CB4">
      <w:pPr>
        <w:tabs>
          <w:tab w:val="left" w:pos="5009"/>
        </w:tabs>
        <w:jc w:val="both"/>
      </w:pPr>
    </w:p>
    <w:p w:rsidR="00755580" w:rsidRPr="00650F74" w:rsidRDefault="00755580" w:rsidP="00137CB4">
      <w:pPr>
        <w:jc w:val="both"/>
      </w:pPr>
    </w:p>
    <w:p w:rsidR="00650F74" w:rsidRPr="00650F74" w:rsidRDefault="00650F74">
      <w:pPr>
        <w:jc w:val="both"/>
      </w:pPr>
    </w:p>
    <w:sectPr w:rsidR="00650F74" w:rsidRPr="00650F7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FF" w:rsidRDefault="00694EFF" w:rsidP="00646E8E">
      <w:r>
        <w:separator/>
      </w:r>
    </w:p>
  </w:endnote>
  <w:endnote w:type="continuationSeparator" w:id="0">
    <w:p w:rsidR="00694EFF" w:rsidRDefault="00694EFF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13819"/>
      <w:docPartObj>
        <w:docPartGallery w:val="Page Numbers (Bottom of Page)"/>
        <w:docPartUnique/>
      </w:docPartObj>
    </w:sdtPr>
    <w:sdtEndPr/>
    <w:sdtContent>
      <w:p w:rsidR="007E78A0" w:rsidRDefault="007E78A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768">
          <w:rPr>
            <w:noProof/>
          </w:rPr>
          <w:t>5</w:t>
        </w:r>
        <w:r>
          <w:fldChar w:fldCharType="end"/>
        </w:r>
      </w:p>
    </w:sdtContent>
  </w:sdt>
  <w:p w:rsidR="007E78A0" w:rsidRDefault="007E78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FF" w:rsidRDefault="00694EFF" w:rsidP="00646E8E">
      <w:r>
        <w:separator/>
      </w:r>
    </w:p>
  </w:footnote>
  <w:footnote w:type="continuationSeparator" w:id="0">
    <w:p w:rsidR="00694EFF" w:rsidRDefault="00694EFF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8362759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10CCB"/>
    <w:rsid w:val="00050BEE"/>
    <w:rsid w:val="000642AB"/>
    <w:rsid w:val="00066A75"/>
    <w:rsid w:val="000673AD"/>
    <w:rsid w:val="00067AA5"/>
    <w:rsid w:val="00082D64"/>
    <w:rsid w:val="00087F87"/>
    <w:rsid w:val="000A0F64"/>
    <w:rsid w:val="000B7748"/>
    <w:rsid w:val="000C248D"/>
    <w:rsid w:val="000C6618"/>
    <w:rsid w:val="000D79A9"/>
    <w:rsid w:val="000E1D98"/>
    <w:rsid w:val="000F0EA3"/>
    <w:rsid w:val="00101842"/>
    <w:rsid w:val="00130087"/>
    <w:rsid w:val="00137CB4"/>
    <w:rsid w:val="00141901"/>
    <w:rsid w:val="00176150"/>
    <w:rsid w:val="00191546"/>
    <w:rsid w:val="001A42B3"/>
    <w:rsid w:val="001B35B1"/>
    <w:rsid w:val="001B4546"/>
    <w:rsid w:val="001C6E01"/>
    <w:rsid w:val="001C7F73"/>
    <w:rsid w:val="001E1729"/>
    <w:rsid w:val="00204077"/>
    <w:rsid w:val="00210795"/>
    <w:rsid w:val="002206DF"/>
    <w:rsid w:val="00220F31"/>
    <w:rsid w:val="00232BEF"/>
    <w:rsid w:val="00240BC6"/>
    <w:rsid w:val="00246566"/>
    <w:rsid w:val="002531F3"/>
    <w:rsid w:val="00255354"/>
    <w:rsid w:val="00257D84"/>
    <w:rsid w:val="00273F86"/>
    <w:rsid w:val="002B14A0"/>
    <w:rsid w:val="002B5D54"/>
    <w:rsid w:val="002C6D56"/>
    <w:rsid w:val="002D3802"/>
    <w:rsid w:val="002F3E3C"/>
    <w:rsid w:val="002F62F8"/>
    <w:rsid w:val="002F7435"/>
    <w:rsid w:val="00314AB8"/>
    <w:rsid w:val="00321FDE"/>
    <w:rsid w:val="003361AC"/>
    <w:rsid w:val="003459D1"/>
    <w:rsid w:val="003464C7"/>
    <w:rsid w:val="00356183"/>
    <w:rsid w:val="00362D57"/>
    <w:rsid w:val="003758A1"/>
    <w:rsid w:val="00380275"/>
    <w:rsid w:val="00383D75"/>
    <w:rsid w:val="00385DA5"/>
    <w:rsid w:val="00391784"/>
    <w:rsid w:val="003A1BBA"/>
    <w:rsid w:val="003A56E5"/>
    <w:rsid w:val="003A5BC9"/>
    <w:rsid w:val="003A6EDE"/>
    <w:rsid w:val="003C4A52"/>
    <w:rsid w:val="003C5E4C"/>
    <w:rsid w:val="003D2620"/>
    <w:rsid w:val="003D6EB3"/>
    <w:rsid w:val="003E0AD2"/>
    <w:rsid w:val="003E1F48"/>
    <w:rsid w:val="003E54AA"/>
    <w:rsid w:val="003F4100"/>
    <w:rsid w:val="004016D8"/>
    <w:rsid w:val="004219D0"/>
    <w:rsid w:val="00434A8B"/>
    <w:rsid w:val="00454ABA"/>
    <w:rsid w:val="0047252E"/>
    <w:rsid w:val="00476349"/>
    <w:rsid w:val="004805F6"/>
    <w:rsid w:val="00493917"/>
    <w:rsid w:val="004A1D5D"/>
    <w:rsid w:val="004B6D34"/>
    <w:rsid w:val="004E41B4"/>
    <w:rsid w:val="004E7112"/>
    <w:rsid w:val="00500ADD"/>
    <w:rsid w:val="00502029"/>
    <w:rsid w:val="00504EAD"/>
    <w:rsid w:val="005118F8"/>
    <w:rsid w:val="00541A04"/>
    <w:rsid w:val="005421C4"/>
    <w:rsid w:val="00560A24"/>
    <w:rsid w:val="00564CDF"/>
    <w:rsid w:val="00567ABB"/>
    <w:rsid w:val="00574D17"/>
    <w:rsid w:val="005833FD"/>
    <w:rsid w:val="00584303"/>
    <w:rsid w:val="00586009"/>
    <w:rsid w:val="00586430"/>
    <w:rsid w:val="00586C13"/>
    <w:rsid w:val="00590296"/>
    <w:rsid w:val="005A40AC"/>
    <w:rsid w:val="005A5A65"/>
    <w:rsid w:val="005A70B2"/>
    <w:rsid w:val="005B65C3"/>
    <w:rsid w:val="005C4948"/>
    <w:rsid w:val="005D7061"/>
    <w:rsid w:val="005E12E4"/>
    <w:rsid w:val="005E776A"/>
    <w:rsid w:val="005F4CE1"/>
    <w:rsid w:val="006034F9"/>
    <w:rsid w:val="00603C95"/>
    <w:rsid w:val="00626290"/>
    <w:rsid w:val="00630116"/>
    <w:rsid w:val="00633AEE"/>
    <w:rsid w:val="0063671F"/>
    <w:rsid w:val="006456B3"/>
    <w:rsid w:val="00646CBE"/>
    <w:rsid w:val="00646E49"/>
    <w:rsid w:val="00646E8E"/>
    <w:rsid w:val="00650F74"/>
    <w:rsid w:val="00672AB7"/>
    <w:rsid w:val="006825BD"/>
    <w:rsid w:val="00692800"/>
    <w:rsid w:val="00694EFF"/>
    <w:rsid w:val="006A25BE"/>
    <w:rsid w:val="006A2F2A"/>
    <w:rsid w:val="006A30A7"/>
    <w:rsid w:val="006A320F"/>
    <w:rsid w:val="006B65E5"/>
    <w:rsid w:val="006C140A"/>
    <w:rsid w:val="006C2229"/>
    <w:rsid w:val="006C2510"/>
    <w:rsid w:val="006C7905"/>
    <w:rsid w:val="006F3671"/>
    <w:rsid w:val="00705036"/>
    <w:rsid w:val="007172A2"/>
    <w:rsid w:val="00753572"/>
    <w:rsid w:val="00753836"/>
    <w:rsid w:val="00755580"/>
    <w:rsid w:val="00765693"/>
    <w:rsid w:val="00771C48"/>
    <w:rsid w:val="0077559A"/>
    <w:rsid w:val="0078746C"/>
    <w:rsid w:val="00792E36"/>
    <w:rsid w:val="007A0509"/>
    <w:rsid w:val="007D068E"/>
    <w:rsid w:val="007D56BC"/>
    <w:rsid w:val="007E78A0"/>
    <w:rsid w:val="007F070F"/>
    <w:rsid w:val="00805335"/>
    <w:rsid w:val="00816782"/>
    <w:rsid w:val="00822C65"/>
    <w:rsid w:val="0082538F"/>
    <w:rsid w:val="0083503D"/>
    <w:rsid w:val="00847EF4"/>
    <w:rsid w:val="00850D42"/>
    <w:rsid w:val="008558D9"/>
    <w:rsid w:val="0087586C"/>
    <w:rsid w:val="00885190"/>
    <w:rsid w:val="0089340A"/>
    <w:rsid w:val="008A53DC"/>
    <w:rsid w:val="008B59BD"/>
    <w:rsid w:val="008C2C9E"/>
    <w:rsid w:val="008C7218"/>
    <w:rsid w:val="008C72A8"/>
    <w:rsid w:val="008D2A80"/>
    <w:rsid w:val="008D4379"/>
    <w:rsid w:val="008D4EA9"/>
    <w:rsid w:val="008D5605"/>
    <w:rsid w:val="008F57E2"/>
    <w:rsid w:val="00922E9C"/>
    <w:rsid w:val="00930F11"/>
    <w:rsid w:val="00937E88"/>
    <w:rsid w:val="009450A8"/>
    <w:rsid w:val="0096009F"/>
    <w:rsid w:val="00961587"/>
    <w:rsid w:val="009623C0"/>
    <w:rsid w:val="00963367"/>
    <w:rsid w:val="009673C6"/>
    <w:rsid w:val="009808AD"/>
    <w:rsid w:val="00992D6E"/>
    <w:rsid w:val="009949CB"/>
    <w:rsid w:val="009A1955"/>
    <w:rsid w:val="009B6223"/>
    <w:rsid w:val="009B6AC9"/>
    <w:rsid w:val="00A017DF"/>
    <w:rsid w:val="00A24A0D"/>
    <w:rsid w:val="00A4443B"/>
    <w:rsid w:val="00A47624"/>
    <w:rsid w:val="00A515A0"/>
    <w:rsid w:val="00A51C7A"/>
    <w:rsid w:val="00A5594E"/>
    <w:rsid w:val="00A65F1F"/>
    <w:rsid w:val="00A75142"/>
    <w:rsid w:val="00A86A24"/>
    <w:rsid w:val="00A90756"/>
    <w:rsid w:val="00A963C2"/>
    <w:rsid w:val="00AA4D18"/>
    <w:rsid w:val="00AB2415"/>
    <w:rsid w:val="00AB502D"/>
    <w:rsid w:val="00AC0526"/>
    <w:rsid w:val="00AC3189"/>
    <w:rsid w:val="00AC3435"/>
    <w:rsid w:val="00AD1D50"/>
    <w:rsid w:val="00AE1C1F"/>
    <w:rsid w:val="00B23796"/>
    <w:rsid w:val="00B50515"/>
    <w:rsid w:val="00B6106A"/>
    <w:rsid w:val="00B73D9C"/>
    <w:rsid w:val="00B778FE"/>
    <w:rsid w:val="00B83483"/>
    <w:rsid w:val="00BA30AB"/>
    <w:rsid w:val="00BA6FF6"/>
    <w:rsid w:val="00BB6C6C"/>
    <w:rsid w:val="00BC6108"/>
    <w:rsid w:val="00BD2B63"/>
    <w:rsid w:val="00BD312D"/>
    <w:rsid w:val="00BE3B94"/>
    <w:rsid w:val="00BE50F4"/>
    <w:rsid w:val="00BE5F97"/>
    <w:rsid w:val="00BF5D92"/>
    <w:rsid w:val="00C03B19"/>
    <w:rsid w:val="00C17EDB"/>
    <w:rsid w:val="00C209BF"/>
    <w:rsid w:val="00C26813"/>
    <w:rsid w:val="00C4116A"/>
    <w:rsid w:val="00C43FB4"/>
    <w:rsid w:val="00C63AA8"/>
    <w:rsid w:val="00C6599D"/>
    <w:rsid w:val="00C7222B"/>
    <w:rsid w:val="00C812B9"/>
    <w:rsid w:val="00C871A6"/>
    <w:rsid w:val="00C87A46"/>
    <w:rsid w:val="00C92379"/>
    <w:rsid w:val="00C966EF"/>
    <w:rsid w:val="00CA0F51"/>
    <w:rsid w:val="00CA1740"/>
    <w:rsid w:val="00CA5AF8"/>
    <w:rsid w:val="00CC5346"/>
    <w:rsid w:val="00CC6420"/>
    <w:rsid w:val="00CC6BB4"/>
    <w:rsid w:val="00CE1633"/>
    <w:rsid w:val="00CF0517"/>
    <w:rsid w:val="00CF17B2"/>
    <w:rsid w:val="00CF2449"/>
    <w:rsid w:val="00D0531C"/>
    <w:rsid w:val="00D153F8"/>
    <w:rsid w:val="00D21727"/>
    <w:rsid w:val="00D23C7F"/>
    <w:rsid w:val="00D33C11"/>
    <w:rsid w:val="00D3419A"/>
    <w:rsid w:val="00D412A5"/>
    <w:rsid w:val="00D65E7F"/>
    <w:rsid w:val="00D863CE"/>
    <w:rsid w:val="00DA0992"/>
    <w:rsid w:val="00DD43F3"/>
    <w:rsid w:val="00DD5F7A"/>
    <w:rsid w:val="00DD7FF6"/>
    <w:rsid w:val="00DE208C"/>
    <w:rsid w:val="00DE30DB"/>
    <w:rsid w:val="00DF5C8E"/>
    <w:rsid w:val="00E019AB"/>
    <w:rsid w:val="00E3124F"/>
    <w:rsid w:val="00E31E9F"/>
    <w:rsid w:val="00E37F72"/>
    <w:rsid w:val="00E47D7E"/>
    <w:rsid w:val="00E50225"/>
    <w:rsid w:val="00E510AB"/>
    <w:rsid w:val="00E52231"/>
    <w:rsid w:val="00E5418F"/>
    <w:rsid w:val="00E566C2"/>
    <w:rsid w:val="00E63768"/>
    <w:rsid w:val="00E6568F"/>
    <w:rsid w:val="00E74D17"/>
    <w:rsid w:val="00E80F04"/>
    <w:rsid w:val="00E858AE"/>
    <w:rsid w:val="00E87200"/>
    <w:rsid w:val="00E9386B"/>
    <w:rsid w:val="00E95EF6"/>
    <w:rsid w:val="00EA4080"/>
    <w:rsid w:val="00EB464E"/>
    <w:rsid w:val="00EC0A52"/>
    <w:rsid w:val="00EE1C1D"/>
    <w:rsid w:val="00EE540C"/>
    <w:rsid w:val="00EF5FC4"/>
    <w:rsid w:val="00F034AE"/>
    <w:rsid w:val="00F058C9"/>
    <w:rsid w:val="00F06641"/>
    <w:rsid w:val="00F11BEA"/>
    <w:rsid w:val="00F21294"/>
    <w:rsid w:val="00F3165F"/>
    <w:rsid w:val="00F316C9"/>
    <w:rsid w:val="00F438E5"/>
    <w:rsid w:val="00F55813"/>
    <w:rsid w:val="00F60F55"/>
    <w:rsid w:val="00F73BFD"/>
    <w:rsid w:val="00F76D46"/>
    <w:rsid w:val="00F83EE8"/>
    <w:rsid w:val="00F91F70"/>
    <w:rsid w:val="00FA10B9"/>
    <w:rsid w:val="00FA5F88"/>
    <w:rsid w:val="00FD7067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66D4"/>
  <w15:docId w15:val="{136D3D96-19E4-40F7-A25C-41D742EE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2D38-1B5C-4C2F-8A66-7D61F009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Grad Otočac</cp:lastModifiedBy>
  <cp:revision>62</cp:revision>
  <cp:lastPrinted>2021-04-09T10:45:00Z</cp:lastPrinted>
  <dcterms:created xsi:type="dcterms:W3CDTF">2020-04-28T08:30:00Z</dcterms:created>
  <dcterms:modified xsi:type="dcterms:W3CDTF">2021-04-09T10:53:00Z</dcterms:modified>
</cp:coreProperties>
</file>